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99" w:rsidRPr="00E37CB1" w:rsidRDefault="002D2C99" w:rsidP="002D2C99">
      <w:pPr>
        <w:pStyle w:val="ECHRDecisionBody"/>
        <w:jc w:val="center"/>
        <w:rPr>
          <w:lang w:val="fr-FR"/>
        </w:rPr>
      </w:pPr>
    </w:p>
    <w:p w:rsidR="002D2C99" w:rsidRPr="00E37CB1" w:rsidRDefault="002D2C99" w:rsidP="002D2C99">
      <w:pPr>
        <w:jc w:val="center"/>
        <w:rPr>
          <w:lang w:val="fr-FR"/>
        </w:rPr>
      </w:pPr>
    </w:p>
    <w:p w:rsidR="002D2C99" w:rsidRPr="00E37CB1" w:rsidRDefault="008E72F9" w:rsidP="002D2C99">
      <w:pPr>
        <w:tabs>
          <w:tab w:val="left" w:pos="5529"/>
        </w:tabs>
        <w:jc w:val="center"/>
        <w:rPr>
          <w:lang w:val="fr-FR"/>
        </w:rPr>
      </w:pPr>
      <w:r>
        <w:rPr>
          <w:lang w:val="fr-FR"/>
        </w:rPr>
        <w:t>QUATRIÈME SECTION</w:t>
      </w: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outlineLvl w:val="0"/>
        <w:rPr>
          <w:b/>
          <w:lang w:val="fr-FR"/>
        </w:rPr>
      </w:pPr>
      <w:r w:rsidRPr="00E37CB1">
        <w:rPr>
          <w:b/>
          <w:lang w:val="fr-FR"/>
        </w:rPr>
        <w:t xml:space="preserve">AFFAIRE </w:t>
      </w:r>
      <w:r w:rsidR="008E72F9">
        <w:rPr>
          <w:b/>
          <w:lang w:val="fr-FR"/>
        </w:rPr>
        <w:t>MAZZONI c. ITALIE</w:t>
      </w:r>
    </w:p>
    <w:p w:rsidR="002D2C99" w:rsidRPr="00E37CB1" w:rsidRDefault="002D2C99" w:rsidP="002D2C99">
      <w:pPr>
        <w:jc w:val="center"/>
        <w:rPr>
          <w:lang w:val="fr-FR"/>
        </w:rPr>
      </w:pPr>
    </w:p>
    <w:p w:rsidR="002D2C99" w:rsidRPr="00E37CB1" w:rsidRDefault="002D2C99" w:rsidP="002D2C99">
      <w:pPr>
        <w:jc w:val="center"/>
        <w:rPr>
          <w:i/>
          <w:lang w:val="fr-FR"/>
        </w:rPr>
      </w:pPr>
      <w:r w:rsidRPr="00E37CB1">
        <w:rPr>
          <w:i/>
          <w:lang w:val="fr-FR"/>
        </w:rPr>
        <w:t>(Requête n</w:t>
      </w:r>
      <w:r w:rsidRPr="00E37CB1">
        <w:rPr>
          <w:i/>
          <w:vertAlign w:val="superscript"/>
          <w:lang w:val="fr-FR"/>
        </w:rPr>
        <w:t>o</w:t>
      </w:r>
      <w:r w:rsidRPr="00E37CB1">
        <w:rPr>
          <w:i/>
          <w:lang w:val="fr-FR"/>
        </w:rPr>
        <w:t xml:space="preserve"> </w:t>
      </w:r>
      <w:r w:rsidR="008E72F9">
        <w:rPr>
          <w:i/>
          <w:lang w:val="fr-FR"/>
        </w:rPr>
        <w:t>20485/06</w:t>
      </w:r>
      <w:r w:rsidRPr="00E37CB1">
        <w:rPr>
          <w:i/>
          <w:lang w:val="fr-FR"/>
        </w:rPr>
        <w:t>)</w:t>
      </w: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center"/>
        <w:outlineLvl w:val="0"/>
        <w:rPr>
          <w:lang w:val="fr-FR"/>
        </w:rPr>
      </w:pPr>
      <w:r w:rsidRPr="00E37CB1">
        <w:rPr>
          <w:lang w:val="fr-FR"/>
        </w:rPr>
        <w:t>ARRÊT</w:t>
      </w:r>
    </w:p>
    <w:p w:rsidR="002D2C99" w:rsidRPr="00E37CB1" w:rsidRDefault="002D2C99" w:rsidP="002D2C99">
      <w:pPr>
        <w:jc w:val="center"/>
        <w:rPr>
          <w:lang w:val="fr-FR"/>
        </w:rPr>
      </w:pPr>
    </w:p>
    <w:p w:rsidR="002D2C99" w:rsidRPr="00E37CB1" w:rsidRDefault="002D2C99" w:rsidP="002D2C99">
      <w:pPr>
        <w:jc w:val="center"/>
        <w:rPr>
          <w:i/>
          <w:lang w:val="fr-FR"/>
        </w:rPr>
      </w:pPr>
    </w:p>
    <w:p w:rsidR="002D2C99" w:rsidRPr="00E37CB1" w:rsidRDefault="002D2C99" w:rsidP="002D2C99">
      <w:pPr>
        <w:jc w:val="center"/>
        <w:rPr>
          <w:lang w:val="fr-FR"/>
        </w:rPr>
      </w:pPr>
    </w:p>
    <w:p w:rsidR="002D2C99" w:rsidRPr="00E37CB1" w:rsidRDefault="002D2C99" w:rsidP="002D2C99">
      <w:pPr>
        <w:jc w:val="center"/>
        <w:outlineLvl w:val="0"/>
        <w:rPr>
          <w:lang w:val="fr-FR"/>
        </w:rPr>
      </w:pPr>
      <w:r w:rsidRPr="00E37CB1">
        <w:rPr>
          <w:lang w:val="fr-FR"/>
        </w:rPr>
        <w:t>STRASBOURG</w:t>
      </w:r>
    </w:p>
    <w:p w:rsidR="002D2C99" w:rsidRPr="00E37CB1" w:rsidRDefault="002D2C99" w:rsidP="002D2C99">
      <w:pPr>
        <w:jc w:val="center"/>
        <w:rPr>
          <w:lang w:val="fr-FR"/>
        </w:rPr>
      </w:pPr>
    </w:p>
    <w:p w:rsidR="002D2C99" w:rsidRPr="00E37CB1" w:rsidRDefault="008E72F9" w:rsidP="002D2C99">
      <w:pPr>
        <w:jc w:val="center"/>
        <w:rPr>
          <w:lang w:val="fr-FR"/>
        </w:rPr>
      </w:pPr>
      <w:r>
        <w:rPr>
          <w:lang w:val="fr-FR"/>
        </w:rPr>
        <w:t>16 juin 2015</w:t>
      </w:r>
    </w:p>
    <w:p w:rsidR="002D2C99" w:rsidRPr="00E37CB1" w:rsidRDefault="002D2C99" w:rsidP="002D2C99">
      <w:pPr>
        <w:jc w:val="center"/>
        <w:rPr>
          <w:lang w:val="fr-FR"/>
        </w:rPr>
      </w:pPr>
    </w:p>
    <w:p w:rsidR="002D2C99" w:rsidRPr="00E37CB1" w:rsidRDefault="002D2C99" w:rsidP="002D2C99">
      <w:pPr>
        <w:jc w:val="center"/>
        <w:rPr>
          <w:lang w:val="fr-FR"/>
        </w:rPr>
      </w:pPr>
    </w:p>
    <w:p w:rsidR="002D2C99" w:rsidRPr="00E37CB1" w:rsidRDefault="002D2C99" w:rsidP="002D2C99">
      <w:pPr>
        <w:jc w:val="left"/>
        <w:rPr>
          <w:i/>
          <w:lang w:val="fr-FR"/>
        </w:rPr>
      </w:pPr>
      <w:r w:rsidRPr="00E37CB1">
        <w:rPr>
          <w:i/>
          <w:sz w:val="22"/>
          <w:lang w:val="fr-FR"/>
        </w:rPr>
        <w:t>Cet arrêt</w:t>
      </w:r>
      <w:r w:rsidR="00F334C1">
        <w:rPr>
          <w:i/>
          <w:sz w:val="22"/>
          <w:lang w:val="fr-FR"/>
        </w:rPr>
        <w:t xml:space="preserve"> </w:t>
      </w:r>
      <w:r w:rsidR="008E72F9" w:rsidRPr="00E37CB1">
        <w:rPr>
          <w:i/>
          <w:sz w:val="22"/>
          <w:lang w:val="fr-FR"/>
        </w:rPr>
        <w:t>deviendra définitif dans les conditions définies à l</w:t>
      </w:r>
      <w:r w:rsidR="00F334C1">
        <w:rPr>
          <w:i/>
          <w:sz w:val="22"/>
          <w:lang w:val="fr-FR"/>
        </w:rPr>
        <w:t>’</w:t>
      </w:r>
      <w:r w:rsidR="008E72F9" w:rsidRPr="00E37CB1">
        <w:rPr>
          <w:i/>
          <w:sz w:val="22"/>
          <w:lang w:val="fr-FR"/>
        </w:rPr>
        <w:t>article 44 § 2 de la Convention</w:t>
      </w:r>
      <w:r w:rsidRPr="00E37CB1">
        <w:rPr>
          <w:i/>
          <w:sz w:val="22"/>
          <w:lang w:val="fr-FR"/>
        </w:rPr>
        <w:t>. Il peut subir des retouches de forme.</w:t>
      </w:r>
    </w:p>
    <w:p w:rsidR="002D2C99" w:rsidRPr="00E37CB1" w:rsidRDefault="002D2C99" w:rsidP="002D2C99">
      <w:pPr>
        <w:rPr>
          <w:lang w:val="fr-FR"/>
        </w:rPr>
        <w:sectPr w:rsidR="002D2C99" w:rsidRPr="00E37CB1" w:rsidSect="00F5432B">
          <w:headerReference w:type="default" r:id="rId9"/>
          <w:footerReference w:type="default" r:id="rId10"/>
          <w:pgSz w:w="11906" w:h="16838" w:code="9"/>
          <w:pgMar w:top="2274" w:right="2274" w:bottom="2274" w:left="2274" w:header="1701" w:footer="720" w:gutter="0"/>
          <w:pgNumType w:start="1"/>
          <w:cols w:space="720"/>
          <w:noEndnote/>
        </w:sectPr>
      </w:pPr>
    </w:p>
    <w:p w:rsidR="002D2C99" w:rsidRPr="00E37CB1" w:rsidRDefault="002D2C99" w:rsidP="002D2C99">
      <w:pPr>
        <w:pStyle w:val="JuCase"/>
        <w:rPr>
          <w:lang w:val="fr-FR"/>
        </w:rPr>
      </w:pPr>
      <w:r w:rsidRPr="00E37CB1">
        <w:rPr>
          <w:lang w:val="fr-FR"/>
        </w:rPr>
        <w:t>En l</w:t>
      </w:r>
      <w:r w:rsidR="00F334C1">
        <w:rPr>
          <w:lang w:val="fr-FR"/>
        </w:rPr>
        <w:t>’</w:t>
      </w:r>
      <w:r w:rsidRPr="00E37CB1">
        <w:rPr>
          <w:lang w:val="fr-FR"/>
        </w:rPr>
        <w:t xml:space="preserve">affaire </w:t>
      </w:r>
      <w:r w:rsidR="008E72F9">
        <w:rPr>
          <w:lang w:val="fr-FR"/>
        </w:rPr>
        <w:t>Mazzoni c. Italie</w:t>
      </w:r>
      <w:r w:rsidRPr="00E37CB1">
        <w:rPr>
          <w:lang w:val="fr-FR"/>
        </w:rPr>
        <w:t>,</w:t>
      </w:r>
    </w:p>
    <w:p w:rsidR="008E72F9" w:rsidRPr="008E72F9" w:rsidRDefault="008E72F9" w:rsidP="00916FB7">
      <w:pPr>
        <w:pStyle w:val="ECHRPara"/>
        <w:rPr>
          <w:lang w:val="fr-FR"/>
        </w:rPr>
      </w:pPr>
      <w:r w:rsidRPr="008E72F9">
        <w:rPr>
          <w:lang w:val="fr-FR"/>
        </w:rPr>
        <w:t>La Cour européenne des droits de l</w:t>
      </w:r>
      <w:r w:rsidR="00F334C1">
        <w:rPr>
          <w:lang w:val="fr-FR"/>
        </w:rPr>
        <w:t>’</w:t>
      </w:r>
      <w:r w:rsidRPr="008E72F9">
        <w:rPr>
          <w:lang w:val="fr-FR"/>
        </w:rPr>
        <w:t>homme (quatrième section), siégeant en une chambre composée de :</w:t>
      </w:r>
    </w:p>
    <w:p w:rsidR="008E72F9" w:rsidRPr="008E72F9" w:rsidRDefault="00723D67" w:rsidP="00EA6476">
      <w:pPr>
        <w:pStyle w:val="ECHRDecisionBody"/>
        <w:rPr>
          <w:lang w:val="fr-FR"/>
        </w:rPr>
      </w:pPr>
      <w:r w:rsidRPr="00723D67">
        <w:rPr>
          <w:lang w:val="fr-FR"/>
        </w:rPr>
        <w:tab/>
      </w:r>
      <w:r w:rsidRPr="002F0DEB">
        <w:rPr>
          <w:lang w:val="fr-FR"/>
        </w:rPr>
        <w:t>Päivi</w:t>
      </w:r>
      <w:r>
        <w:rPr>
          <w:lang w:val="fr-FR"/>
        </w:rPr>
        <w:t xml:space="preserve"> </w:t>
      </w:r>
      <w:r w:rsidRPr="00723D67">
        <w:rPr>
          <w:lang w:val="fr-FR"/>
        </w:rPr>
        <w:t>Hirvelä</w:t>
      </w:r>
      <w:r>
        <w:rPr>
          <w:lang w:val="fr-FR"/>
        </w:rPr>
        <w:t>,</w:t>
      </w:r>
      <w:r w:rsidRPr="00723D67">
        <w:rPr>
          <w:i/>
          <w:lang w:val="fr-FR"/>
        </w:rPr>
        <w:t xml:space="preserve"> présidente,</w:t>
      </w:r>
      <w:r>
        <w:rPr>
          <w:i/>
          <w:lang w:val="fr-FR"/>
        </w:rPr>
        <w:br/>
      </w:r>
      <w:r w:rsidRPr="00723D67">
        <w:rPr>
          <w:lang w:val="fr-FR"/>
        </w:rPr>
        <w:tab/>
        <w:t>Guido</w:t>
      </w:r>
      <w:r>
        <w:rPr>
          <w:lang w:val="fr-FR"/>
        </w:rPr>
        <w:t xml:space="preserve"> </w:t>
      </w:r>
      <w:r w:rsidRPr="00723D67">
        <w:rPr>
          <w:lang w:val="fr-FR"/>
        </w:rPr>
        <w:t>Raimondi</w:t>
      </w:r>
      <w:r>
        <w:rPr>
          <w:lang w:val="fr-FR"/>
        </w:rPr>
        <w:t>,</w:t>
      </w:r>
      <w:r>
        <w:rPr>
          <w:i/>
          <w:lang w:val="fr-FR"/>
        </w:rPr>
        <w:br/>
      </w:r>
      <w:r w:rsidRPr="00723D67">
        <w:rPr>
          <w:lang w:val="fr-FR"/>
        </w:rPr>
        <w:tab/>
        <w:t>George</w:t>
      </w:r>
      <w:r>
        <w:rPr>
          <w:lang w:val="fr-FR"/>
        </w:rPr>
        <w:t xml:space="preserve"> </w:t>
      </w:r>
      <w:r w:rsidRPr="00723D67">
        <w:rPr>
          <w:lang w:val="fr-FR"/>
        </w:rPr>
        <w:t>Nicolaou</w:t>
      </w:r>
      <w:r>
        <w:rPr>
          <w:lang w:val="fr-FR"/>
        </w:rPr>
        <w:t>,</w:t>
      </w:r>
      <w:r>
        <w:rPr>
          <w:i/>
          <w:lang w:val="fr-FR"/>
        </w:rPr>
        <w:br/>
      </w:r>
      <w:r w:rsidRPr="00723D67">
        <w:rPr>
          <w:lang w:val="fr-FR"/>
        </w:rPr>
        <w:tab/>
        <w:t>Ledi</w:t>
      </w:r>
      <w:r>
        <w:rPr>
          <w:lang w:val="fr-FR"/>
        </w:rPr>
        <w:t xml:space="preserve"> </w:t>
      </w:r>
      <w:r w:rsidRPr="00723D67">
        <w:rPr>
          <w:lang w:val="fr-FR"/>
        </w:rPr>
        <w:t>Bianku</w:t>
      </w:r>
      <w:r>
        <w:rPr>
          <w:lang w:val="fr-FR"/>
        </w:rPr>
        <w:t>,</w:t>
      </w:r>
      <w:r>
        <w:rPr>
          <w:i/>
          <w:lang w:val="fr-FR"/>
        </w:rPr>
        <w:br/>
      </w:r>
      <w:r w:rsidRPr="00723D67">
        <w:rPr>
          <w:lang w:val="fr-FR"/>
        </w:rPr>
        <w:tab/>
        <w:t>Nona</w:t>
      </w:r>
      <w:r>
        <w:rPr>
          <w:lang w:val="fr-FR"/>
        </w:rPr>
        <w:t xml:space="preserve"> </w:t>
      </w:r>
      <w:r w:rsidRPr="00723D67">
        <w:rPr>
          <w:lang w:val="fr-FR"/>
        </w:rPr>
        <w:t>Tsotsoria</w:t>
      </w:r>
      <w:r>
        <w:rPr>
          <w:lang w:val="fr-FR"/>
        </w:rPr>
        <w:t>,</w:t>
      </w:r>
      <w:r>
        <w:rPr>
          <w:i/>
          <w:lang w:val="fr-FR"/>
        </w:rPr>
        <w:br/>
      </w:r>
      <w:r w:rsidRPr="00723D67">
        <w:rPr>
          <w:lang w:val="fr-FR"/>
        </w:rPr>
        <w:tab/>
        <w:t>Paul</w:t>
      </w:r>
      <w:r>
        <w:rPr>
          <w:lang w:val="fr-FR"/>
        </w:rPr>
        <w:t xml:space="preserve"> </w:t>
      </w:r>
      <w:r w:rsidRPr="00723D67">
        <w:rPr>
          <w:lang w:val="fr-FR"/>
        </w:rPr>
        <w:t>Mahoney</w:t>
      </w:r>
      <w:r>
        <w:rPr>
          <w:lang w:val="fr-FR"/>
        </w:rPr>
        <w:t>,</w:t>
      </w:r>
      <w:r>
        <w:rPr>
          <w:i/>
          <w:lang w:val="fr-FR"/>
        </w:rPr>
        <w:br/>
      </w:r>
      <w:r w:rsidRPr="00723D67">
        <w:rPr>
          <w:lang w:val="fr-FR"/>
        </w:rPr>
        <w:tab/>
        <w:t>Yonko</w:t>
      </w:r>
      <w:r>
        <w:rPr>
          <w:lang w:val="fr-FR"/>
        </w:rPr>
        <w:t xml:space="preserve"> </w:t>
      </w:r>
      <w:r w:rsidRPr="00723D67">
        <w:rPr>
          <w:lang w:val="fr-FR"/>
        </w:rPr>
        <w:t>Grozev</w:t>
      </w:r>
      <w:r>
        <w:rPr>
          <w:lang w:val="fr-FR"/>
        </w:rPr>
        <w:t>,</w:t>
      </w:r>
      <w:r w:rsidRPr="00723D67">
        <w:rPr>
          <w:i/>
          <w:lang w:val="fr-FR"/>
        </w:rPr>
        <w:t xml:space="preserve"> juges,</w:t>
      </w:r>
      <w:r>
        <w:rPr>
          <w:i/>
          <w:lang w:val="fr-FR"/>
        </w:rPr>
        <w:br/>
      </w:r>
      <w:r w:rsidR="008E72F9" w:rsidRPr="008E72F9">
        <w:rPr>
          <w:lang w:val="fr-FR"/>
        </w:rPr>
        <w:t xml:space="preserve">et de Françoise Elens-Passos, </w:t>
      </w:r>
      <w:r w:rsidR="008E72F9" w:rsidRPr="008E72F9">
        <w:rPr>
          <w:i/>
          <w:lang w:val="fr-FR"/>
        </w:rPr>
        <w:t>greffière</w:t>
      </w:r>
      <w:r w:rsidR="008E72F9" w:rsidRPr="008E72F9">
        <w:rPr>
          <w:iCs/>
          <w:lang w:val="fr-FR"/>
        </w:rPr>
        <w:t xml:space="preserve"> </w:t>
      </w:r>
      <w:r w:rsidR="008E72F9" w:rsidRPr="008E72F9">
        <w:rPr>
          <w:i/>
          <w:iCs/>
          <w:lang w:val="fr-FR"/>
        </w:rPr>
        <w:t>d</w:t>
      </w:r>
      <w:r w:rsidR="008E72F9" w:rsidRPr="008E72F9">
        <w:rPr>
          <w:i/>
          <w:lang w:val="fr-FR"/>
        </w:rPr>
        <w:t>e section</w:t>
      </w:r>
      <w:r w:rsidR="008E72F9" w:rsidRPr="008E72F9">
        <w:rPr>
          <w:lang w:val="fr-FR"/>
        </w:rPr>
        <w:t>,</w:t>
      </w:r>
    </w:p>
    <w:p w:rsidR="008E72F9" w:rsidRPr="008E72F9" w:rsidRDefault="008E72F9" w:rsidP="00916FB7">
      <w:pPr>
        <w:pStyle w:val="ECHRPara"/>
        <w:rPr>
          <w:lang w:val="fr-FR"/>
        </w:rPr>
      </w:pPr>
      <w:r w:rsidRPr="008E72F9">
        <w:rPr>
          <w:lang w:val="fr-FR"/>
        </w:rPr>
        <w:t xml:space="preserve">Après en avoir délibéré en chambre du conseil le </w:t>
      </w:r>
      <w:r w:rsidR="00723D67">
        <w:rPr>
          <w:lang w:val="fr-FR"/>
        </w:rPr>
        <w:t>26 mai 2015</w:t>
      </w:r>
      <w:r w:rsidRPr="008E72F9">
        <w:rPr>
          <w:lang w:val="fr-FR"/>
        </w:rPr>
        <w:t>,</w:t>
      </w:r>
    </w:p>
    <w:p w:rsidR="008E72F9" w:rsidRPr="008E72F9" w:rsidRDefault="008E72F9" w:rsidP="00916FB7">
      <w:pPr>
        <w:pStyle w:val="ECHRPara"/>
        <w:rPr>
          <w:lang w:val="fr-FR"/>
        </w:rPr>
      </w:pPr>
      <w:r w:rsidRPr="008E72F9">
        <w:rPr>
          <w:lang w:val="fr-FR"/>
        </w:rPr>
        <w:t>Rend l</w:t>
      </w:r>
      <w:r w:rsidR="00F334C1">
        <w:rPr>
          <w:lang w:val="fr-FR"/>
        </w:rPr>
        <w:t>’</w:t>
      </w:r>
      <w:r w:rsidRPr="008E72F9">
        <w:rPr>
          <w:lang w:val="fr-FR"/>
        </w:rPr>
        <w:t>arrêt que voici, adopté à cette date :</w:t>
      </w:r>
    </w:p>
    <w:p w:rsidR="008E72F9" w:rsidRPr="008E72F9" w:rsidRDefault="008E72F9" w:rsidP="00916FB7">
      <w:pPr>
        <w:pStyle w:val="ECHRTitle1"/>
        <w:keepNext w:val="0"/>
        <w:keepLines w:val="0"/>
        <w:rPr>
          <w:lang w:val="fr-FR"/>
        </w:rPr>
      </w:pPr>
      <w:r w:rsidRPr="008E72F9">
        <w:rPr>
          <w:lang w:val="fr-FR"/>
        </w:rPr>
        <w:t>PROCÉDURE</w:t>
      </w:r>
    </w:p>
    <w:p w:rsidR="008E72F9" w:rsidRPr="008E72F9" w:rsidRDefault="008E72F9" w:rsidP="00916FB7">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w:t>
      </w:r>
      <w:r w:rsidRPr="008E72F9">
        <w:rPr>
          <w:lang w:val="fr-FR"/>
        </w:rPr>
        <w:fldChar w:fldCharType="end"/>
      </w:r>
      <w:r w:rsidRPr="008E72F9">
        <w:rPr>
          <w:lang w:val="fr-FR"/>
        </w:rPr>
        <w:t>.  À l</w:t>
      </w:r>
      <w:r w:rsidR="00F334C1">
        <w:rPr>
          <w:lang w:val="fr-FR"/>
        </w:rPr>
        <w:t>’</w:t>
      </w:r>
      <w:r w:rsidRPr="008E72F9">
        <w:rPr>
          <w:lang w:val="fr-FR"/>
        </w:rPr>
        <w:t>origine de l</w:t>
      </w:r>
      <w:r w:rsidR="00F334C1">
        <w:rPr>
          <w:lang w:val="fr-FR"/>
        </w:rPr>
        <w:t>’</w:t>
      </w:r>
      <w:r w:rsidRPr="008E72F9">
        <w:rPr>
          <w:lang w:val="fr-FR"/>
        </w:rPr>
        <w:t>affaire se trouve une requête (n</w:t>
      </w:r>
      <w:r w:rsidRPr="008E72F9">
        <w:rPr>
          <w:vertAlign w:val="superscript"/>
          <w:lang w:val="fr-FR"/>
        </w:rPr>
        <w:t>o</w:t>
      </w:r>
      <w:r w:rsidRPr="008E72F9">
        <w:rPr>
          <w:lang w:val="fr-FR"/>
        </w:rPr>
        <w:t xml:space="preserve"> 20485/06) dirigée contre la République italienne et dont un ressortissant de cet État, </w:t>
      </w:r>
      <w:r w:rsidR="006F33BE">
        <w:rPr>
          <w:lang w:val="fr-FR"/>
        </w:rPr>
        <w:br/>
      </w:r>
      <w:r w:rsidRPr="008E72F9">
        <w:rPr>
          <w:lang w:val="fr-FR"/>
        </w:rPr>
        <w:t>M. Giuseppe Mazzoni (« le requérant »), a saisi la Cour le 11 mai 2006 en vertu de l</w:t>
      </w:r>
      <w:r w:rsidR="00F334C1">
        <w:rPr>
          <w:lang w:val="fr-FR"/>
        </w:rPr>
        <w:t>’</w:t>
      </w:r>
      <w:r w:rsidRPr="008E72F9">
        <w:rPr>
          <w:lang w:val="fr-FR"/>
        </w:rPr>
        <w:t>article 34 de la Convention de sauvegarde des droits de l</w:t>
      </w:r>
      <w:r w:rsidR="00F334C1">
        <w:rPr>
          <w:lang w:val="fr-FR"/>
        </w:rPr>
        <w:t>’</w:t>
      </w:r>
      <w:r w:rsidRPr="008E72F9">
        <w:rPr>
          <w:lang w:val="fr-FR"/>
        </w:rPr>
        <w:t>homme et des libertés fondamentales (« la Convention »).</w:t>
      </w:r>
    </w:p>
    <w:p w:rsidR="008E72F9" w:rsidRPr="008E72F9" w:rsidRDefault="008E72F9" w:rsidP="00916FB7">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w:t>
      </w:r>
      <w:r w:rsidRPr="008E72F9">
        <w:rPr>
          <w:lang w:val="fr-FR"/>
        </w:rPr>
        <w:fldChar w:fldCharType="end"/>
      </w:r>
      <w:r w:rsidRPr="008E72F9">
        <w:rPr>
          <w:lang w:val="fr-FR"/>
        </w:rPr>
        <w:t>.  Le requérant a été représenté par M</w:t>
      </w:r>
      <w:r w:rsidRPr="008E72F9">
        <w:rPr>
          <w:vertAlign w:val="superscript"/>
          <w:lang w:val="fr-FR"/>
        </w:rPr>
        <w:t>e</w:t>
      </w:r>
      <w:r w:rsidRPr="008E72F9">
        <w:rPr>
          <w:lang w:val="fr-FR"/>
        </w:rPr>
        <w:t> M. Cento, avocat à Rome. Le gouvernement italien (« le Gouvernement ») a été représenté par son agente, M</w:t>
      </w:r>
      <w:r w:rsidRPr="008E72F9">
        <w:rPr>
          <w:vertAlign w:val="superscript"/>
          <w:lang w:val="fr-FR"/>
        </w:rPr>
        <w:t>me</w:t>
      </w:r>
      <w:r w:rsidRPr="008E72F9">
        <w:rPr>
          <w:lang w:val="fr-FR"/>
        </w:rPr>
        <w:t xml:space="preserve"> E. Spatafora, et s</w:t>
      </w:r>
      <w:r w:rsidR="00846992">
        <w:rPr>
          <w:lang w:val="fr-FR"/>
        </w:rPr>
        <w:t>a</w:t>
      </w:r>
      <w:r w:rsidRPr="008E72F9">
        <w:rPr>
          <w:lang w:val="fr-FR"/>
        </w:rPr>
        <w:t xml:space="preserve"> co-agente, M</w:t>
      </w:r>
      <w:r w:rsidRPr="008E72F9">
        <w:rPr>
          <w:vertAlign w:val="superscript"/>
          <w:lang w:val="fr-FR"/>
        </w:rPr>
        <w:t>me</w:t>
      </w:r>
      <w:r w:rsidRPr="008E72F9">
        <w:rPr>
          <w:lang w:val="fr-FR"/>
        </w:rPr>
        <w:t xml:space="preserve"> Paola Accardo.</w:t>
      </w:r>
    </w:p>
    <w:p w:rsidR="008E72F9" w:rsidRPr="008E72F9" w:rsidRDefault="008E72F9" w:rsidP="00916FB7">
      <w:pPr>
        <w:pStyle w:val="ECHRPara"/>
        <w:rPr>
          <w:szCs w:val="24"/>
          <w:lang w:val="fr-FR" w:eastAsia="en-GB"/>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w:t>
      </w:r>
      <w:r w:rsidRPr="008E72F9">
        <w:rPr>
          <w:lang w:val="fr-FR"/>
        </w:rPr>
        <w:fldChar w:fldCharType="end"/>
      </w:r>
      <w:r w:rsidRPr="008E72F9">
        <w:rPr>
          <w:lang w:val="fr-FR"/>
        </w:rPr>
        <w:t xml:space="preserve">.  Le </w:t>
      </w:r>
      <w:r w:rsidRPr="008E72F9">
        <w:rPr>
          <w:szCs w:val="24"/>
          <w:lang w:val="fr-FR"/>
        </w:rPr>
        <w:t>4 janvier 2011</w:t>
      </w:r>
      <w:r w:rsidRPr="008E72F9">
        <w:rPr>
          <w:lang w:val="fr-FR"/>
        </w:rPr>
        <w:t>, la requête a été communiquée au Gouvernement.</w:t>
      </w:r>
    </w:p>
    <w:p w:rsidR="008E72F9" w:rsidRPr="008E72F9" w:rsidRDefault="008E72F9" w:rsidP="00916FB7">
      <w:pPr>
        <w:pStyle w:val="ECHRTitle1"/>
        <w:keepNext w:val="0"/>
        <w:keepLines w:val="0"/>
        <w:rPr>
          <w:lang w:val="fr-FR"/>
        </w:rPr>
      </w:pPr>
      <w:r w:rsidRPr="008E72F9">
        <w:rPr>
          <w:lang w:val="fr-FR"/>
        </w:rPr>
        <w:t>EN FAIT</w:t>
      </w:r>
    </w:p>
    <w:p w:rsidR="008E72F9" w:rsidRPr="00F334C1" w:rsidRDefault="008E72F9" w:rsidP="00DC468C">
      <w:pPr>
        <w:pStyle w:val="ECHRHeading1"/>
        <w:rPr>
          <w:lang w:val="fr-FR"/>
        </w:rPr>
      </w:pPr>
      <w:r w:rsidRPr="00F334C1">
        <w:rPr>
          <w:lang w:val="fr-FR"/>
        </w:rPr>
        <w:t>I.  LES CIRCONSTANCES DE L</w:t>
      </w:r>
      <w:r w:rsidR="00F334C1" w:rsidRPr="00F334C1">
        <w:rPr>
          <w:lang w:val="fr-FR"/>
        </w:rPr>
        <w:t>’</w:t>
      </w:r>
      <w:r w:rsidRPr="00F334C1">
        <w:rPr>
          <w:lang w:val="fr-FR"/>
        </w:rPr>
        <w:t>ESPÈCE</w:t>
      </w:r>
    </w:p>
    <w:p w:rsidR="008E72F9" w:rsidRPr="008E72F9" w:rsidRDefault="008E72F9" w:rsidP="00916FB7">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w:t>
      </w:r>
      <w:r w:rsidRPr="008E72F9">
        <w:rPr>
          <w:lang w:val="fr-FR"/>
        </w:rPr>
        <w:fldChar w:fldCharType="end"/>
      </w:r>
      <w:r w:rsidRPr="008E72F9">
        <w:rPr>
          <w:lang w:val="fr-FR"/>
        </w:rPr>
        <w:t xml:space="preserve">.  Le requérant, M. Giuseppe Mazzoni, est un ressortissant italien, </w:t>
      </w:r>
      <w:r w:rsidR="00DC468C">
        <w:rPr>
          <w:lang w:val="fr-FR"/>
        </w:rPr>
        <w:t>né en 1940 et résidant à Udine.</w:t>
      </w:r>
    </w:p>
    <w:p w:rsidR="008E72F9" w:rsidRPr="008E72F9" w:rsidRDefault="008E72F9" w:rsidP="00EA6476">
      <w:pPr>
        <w:pStyle w:val="ECHRHeading2"/>
        <w:rPr>
          <w:i/>
          <w:lang w:val="fr-FR"/>
        </w:rPr>
      </w:pPr>
      <w:r w:rsidRPr="00EA6476">
        <w:rPr>
          <w:lang w:val="fr-FR"/>
        </w:rPr>
        <w:t xml:space="preserve">A.  Les </w:t>
      </w:r>
      <w:r w:rsidR="00EA6476" w:rsidRPr="00EA6476">
        <w:rPr>
          <w:lang w:val="fr-FR"/>
        </w:rPr>
        <w:t>procédures</w:t>
      </w:r>
      <w:r w:rsidRPr="00EA6476">
        <w:rPr>
          <w:lang w:val="fr-FR"/>
        </w:rPr>
        <w:t xml:space="preserve"> relatives à la responsabilité pénale et civile du requérant et la procédure « Pinto » y relative</w:t>
      </w:r>
    </w:p>
    <w:p w:rsidR="008E72F9" w:rsidRPr="008E72F9" w:rsidRDefault="008E72F9" w:rsidP="00EB0D62">
      <w:pPr>
        <w:pStyle w:val="ECHRHeading3"/>
        <w:rPr>
          <w:b/>
          <w:lang w:val="fr-FR"/>
        </w:rPr>
      </w:pPr>
      <w:r w:rsidRPr="008E72F9">
        <w:rPr>
          <w:lang w:val="fr-FR"/>
        </w:rPr>
        <w:t>1.  La procédure pénale</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w:t>
      </w:r>
      <w:r w:rsidRPr="008E72F9">
        <w:rPr>
          <w:lang w:val="fr-FR"/>
        </w:rPr>
        <w:fldChar w:fldCharType="end"/>
      </w:r>
      <w:r w:rsidRPr="008E72F9">
        <w:rPr>
          <w:lang w:val="fr-FR"/>
        </w:rPr>
        <w:t>.  En 1973, le requérant, à l</w:t>
      </w:r>
      <w:r w:rsidR="00F334C1">
        <w:rPr>
          <w:lang w:val="fr-FR"/>
        </w:rPr>
        <w:t>’</w:t>
      </w:r>
      <w:r w:rsidRPr="008E72F9">
        <w:rPr>
          <w:lang w:val="fr-FR"/>
        </w:rPr>
        <w:t>époque militaire en service, et d</w:t>
      </w:r>
      <w:r w:rsidR="00F334C1">
        <w:rPr>
          <w:lang w:val="fr-FR"/>
        </w:rPr>
        <w:t>’</w:t>
      </w:r>
      <w:r w:rsidRPr="008E72F9">
        <w:rPr>
          <w:lang w:val="fr-FR"/>
        </w:rPr>
        <w:t>autres personnes furent accusés de péculat au détriment du ministère de la Défense et relevés provisoirement de leurs fonctions.</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w:t>
      </w:r>
      <w:r w:rsidRPr="008E72F9">
        <w:rPr>
          <w:lang w:val="fr-FR"/>
        </w:rPr>
        <w:fldChar w:fldCharType="end"/>
      </w:r>
      <w:r w:rsidRPr="008E72F9">
        <w:rPr>
          <w:lang w:val="fr-FR"/>
        </w:rPr>
        <w:t>. </w:t>
      </w:r>
      <w:r w:rsidR="00DC468C" w:rsidRPr="008E72F9">
        <w:rPr>
          <w:lang w:val="fr-FR"/>
        </w:rPr>
        <w:t> </w:t>
      </w:r>
      <w:r w:rsidRPr="008E72F9">
        <w:rPr>
          <w:lang w:val="fr-FR"/>
        </w:rPr>
        <w:t>Par un jugement du 14 mars 1980, le tribunal de Pordenone reconnut les prévenus coupables et les condamna au dédommagement du préjudice causé à l</w:t>
      </w:r>
      <w:r w:rsidR="00F334C1">
        <w:rPr>
          <w:lang w:val="fr-FR"/>
        </w:rPr>
        <w:t>’</w:t>
      </w:r>
      <w:r w:rsidRPr="008E72F9">
        <w:rPr>
          <w:lang w:val="fr-FR"/>
        </w:rPr>
        <w:t>État, notamment au ministère de la Défense constitué partie civile, à quantifier par la suite. La décision fut confirmée en appel et devint définitive, suite au rejet du pourvoi formé par le requérant, par un arrêt de la Cour de cassation déposé au greffe le 2 mai 1983.</w:t>
      </w:r>
    </w:p>
    <w:p w:rsidR="008E72F9" w:rsidRPr="008E72F9" w:rsidRDefault="008E72F9" w:rsidP="00EB0D62">
      <w:pPr>
        <w:pStyle w:val="ECHRHeading3"/>
        <w:rPr>
          <w:lang w:val="fr-FR"/>
        </w:rPr>
      </w:pPr>
      <w:r w:rsidRPr="008E72F9">
        <w:rPr>
          <w:lang w:val="fr-FR"/>
        </w:rPr>
        <w:t>2.  La procédure pour la détermination des dommages subis par le Trésor Public</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w:t>
      </w:r>
      <w:r w:rsidRPr="008E72F9">
        <w:rPr>
          <w:lang w:val="fr-FR"/>
        </w:rPr>
        <w:fldChar w:fldCharType="end"/>
      </w:r>
      <w:r w:rsidRPr="008E72F9">
        <w:rPr>
          <w:lang w:val="fr-FR"/>
        </w:rPr>
        <w:t>.  Suite au jugement du tribunal de Pordenone, le ministère de la Défense, en 1984 et 1985, nomma deux commissions d</w:t>
      </w:r>
      <w:r w:rsidR="00F334C1">
        <w:rPr>
          <w:lang w:val="fr-FR"/>
        </w:rPr>
        <w:t>’</w:t>
      </w:r>
      <w:r w:rsidRPr="008E72F9">
        <w:rPr>
          <w:lang w:val="fr-FR"/>
        </w:rPr>
        <w:t>enquête administrative dans le but d</w:t>
      </w:r>
      <w:r w:rsidR="00F334C1">
        <w:rPr>
          <w:lang w:val="fr-FR"/>
        </w:rPr>
        <w:t>’</w:t>
      </w:r>
      <w:r w:rsidRPr="008E72F9">
        <w:rPr>
          <w:lang w:val="fr-FR"/>
        </w:rPr>
        <w:t>évaluer les dommages subis.</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8</w:t>
      </w:r>
      <w:r w:rsidRPr="008E72F9">
        <w:rPr>
          <w:lang w:val="fr-FR"/>
        </w:rPr>
        <w:fldChar w:fldCharType="end"/>
      </w:r>
      <w:r w:rsidRPr="008E72F9">
        <w:rPr>
          <w:lang w:val="fr-FR"/>
        </w:rPr>
        <w:t>.  Le 11 août 1987, le procureur général près la Cour des comptes assigna le requérant devant la Cour des comptes afin de le voir condamner au versement de certains sommes à titre de dédommagement. Il demanda également la saisie conservatoire de l</w:t>
      </w:r>
      <w:r w:rsidR="00F334C1">
        <w:rPr>
          <w:lang w:val="fr-FR"/>
        </w:rPr>
        <w:t>’</w:t>
      </w:r>
      <w:r w:rsidRPr="008E72F9">
        <w:rPr>
          <w:lang w:val="fr-FR"/>
        </w:rPr>
        <w:t>indemnité de fin de service qui fut confirmée par ordonnance de la section juridictionnelle du 25 mars 1988. Par un arrêt du 20 octobre 1995, déposé le 1</w:t>
      </w:r>
      <w:r w:rsidRPr="008E72F9">
        <w:rPr>
          <w:vertAlign w:val="superscript"/>
          <w:lang w:val="fr-FR"/>
        </w:rPr>
        <w:t>er</w:t>
      </w:r>
      <w:r w:rsidRPr="008E72F9">
        <w:rPr>
          <w:lang w:val="fr-FR"/>
        </w:rPr>
        <w:t xml:space="preserve"> avril 1996, la Cour des comptes reconnut le requérant responsable des faits à sa charge et le condamna à verser 699 952 euros (EUR) au Trésor Public.</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9</w:t>
      </w:r>
      <w:r w:rsidRPr="008E72F9">
        <w:rPr>
          <w:lang w:val="fr-FR"/>
        </w:rPr>
        <w:fldChar w:fldCharType="end"/>
      </w:r>
      <w:r w:rsidRPr="008E72F9">
        <w:rPr>
          <w:lang w:val="fr-FR"/>
        </w:rPr>
        <w:t>.  Le 14 juin 1996, le requérant interjeta appel devant les chambres réunies de la Cour des comptes. Par arrêt déposé le 6 octobre 1998, la formation plénière de la Cour de comptes rejeta l</w:t>
      </w:r>
      <w:r w:rsidR="00F334C1">
        <w:rPr>
          <w:lang w:val="fr-FR"/>
        </w:rPr>
        <w:t>’</w:t>
      </w:r>
      <w:r w:rsidRPr="008E72F9">
        <w:rPr>
          <w:lang w:val="fr-FR"/>
        </w:rPr>
        <w:t>appel.</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10</w:t>
      </w:r>
      <w:r w:rsidRPr="008E72F9">
        <w:rPr>
          <w:lang w:val="fr-FR"/>
        </w:rPr>
        <w:fldChar w:fldCharType="end"/>
      </w:r>
      <w:r w:rsidRPr="008E72F9">
        <w:rPr>
          <w:lang w:val="fr-FR"/>
        </w:rPr>
        <w:t>.  À une date non précisée, la saisie du cinquième des revenus du requérant fut ordonnée en exécution de l</w:t>
      </w:r>
      <w:r w:rsidR="00F334C1">
        <w:rPr>
          <w:lang w:val="fr-FR"/>
        </w:rPr>
        <w:t>’</w:t>
      </w:r>
      <w:r w:rsidRPr="008E72F9">
        <w:rPr>
          <w:lang w:val="fr-FR"/>
        </w:rPr>
        <w:t>arrêt.</w:t>
      </w:r>
    </w:p>
    <w:p w:rsidR="008E72F9" w:rsidRPr="008E72F9" w:rsidRDefault="008E72F9" w:rsidP="00EB0D62">
      <w:pPr>
        <w:pStyle w:val="ECHRHeading3"/>
        <w:rPr>
          <w:lang w:val="fr-FR"/>
        </w:rPr>
      </w:pPr>
      <w:r w:rsidRPr="008E72F9">
        <w:rPr>
          <w:lang w:val="fr-FR"/>
        </w:rPr>
        <w:t>3.  La procédure « Pinto »</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11</w:t>
      </w:r>
      <w:r w:rsidRPr="008E72F9">
        <w:rPr>
          <w:lang w:val="fr-FR"/>
        </w:rPr>
        <w:fldChar w:fldCharType="end"/>
      </w:r>
      <w:r w:rsidRPr="008E72F9">
        <w:rPr>
          <w:lang w:val="fr-FR"/>
        </w:rPr>
        <w:t xml:space="preserve">.  Après avoir introduit une première requête devant la Cour le </w:t>
      </w:r>
      <w:r w:rsidR="006F33BE">
        <w:rPr>
          <w:lang w:val="fr-FR"/>
        </w:rPr>
        <w:br/>
      </w:r>
      <w:r w:rsidRPr="008E72F9">
        <w:rPr>
          <w:lang w:val="fr-FR"/>
        </w:rPr>
        <w:t>21 février 1998 (</w:t>
      </w:r>
      <w:r w:rsidRPr="008E72F9">
        <w:rPr>
          <w:i/>
          <w:lang w:val="fr-FR"/>
        </w:rPr>
        <w:t>Mazzoni c. Italie</w:t>
      </w:r>
      <w:r w:rsidRPr="008E72F9">
        <w:rPr>
          <w:lang w:val="fr-FR"/>
        </w:rPr>
        <w:t>, n</w:t>
      </w:r>
      <w:r w:rsidRPr="008E72F9">
        <w:rPr>
          <w:vertAlign w:val="superscript"/>
          <w:lang w:val="fr-FR"/>
        </w:rPr>
        <w:t>o</w:t>
      </w:r>
      <w:r w:rsidRPr="008E72F9">
        <w:rPr>
          <w:lang w:val="fr-FR"/>
        </w:rPr>
        <w:t xml:space="preserve"> 62355/00), en 2002, le requérant </w:t>
      </w:r>
      <w:r w:rsidRPr="008E72F9">
        <w:rPr>
          <w:noProof/>
          <w:lang w:val="fr-FR"/>
        </w:rPr>
        <w:t>saisit</w:t>
      </w:r>
      <w:r w:rsidRPr="008E72F9">
        <w:rPr>
          <w:lang w:val="fr-FR"/>
        </w:rPr>
        <w:t xml:space="preserve"> la cour d</w:t>
      </w:r>
      <w:r w:rsidR="00F334C1">
        <w:rPr>
          <w:lang w:val="fr-FR"/>
        </w:rPr>
        <w:t>’</w:t>
      </w:r>
      <w:r w:rsidRPr="008E72F9">
        <w:rPr>
          <w:lang w:val="fr-FR"/>
        </w:rPr>
        <w:t xml:space="preserve">appel de Rome au sens de la loi « Pinto ». </w:t>
      </w:r>
      <w:r w:rsidRPr="008E72F9">
        <w:rPr>
          <w:noProof/>
          <w:lang w:val="fr-FR"/>
        </w:rPr>
        <w:t>Le requérant demanda</w:t>
      </w:r>
      <w:r w:rsidRPr="008E72F9">
        <w:rPr>
          <w:lang w:val="fr-FR"/>
        </w:rPr>
        <w:t xml:space="preserve"> à la cour d</w:t>
      </w:r>
      <w:r w:rsidR="00F334C1">
        <w:rPr>
          <w:lang w:val="fr-FR"/>
        </w:rPr>
        <w:t>’</w:t>
      </w:r>
      <w:r w:rsidRPr="008E72F9">
        <w:rPr>
          <w:lang w:val="fr-FR"/>
        </w:rPr>
        <w:t>affirmer qu</w:t>
      </w:r>
      <w:r w:rsidR="00F334C1">
        <w:rPr>
          <w:lang w:val="fr-FR"/>
        </w:rPr>
        <w:t>’</w:t>
      </w:r>
      <w:r w:rsidRPr="008E72F9">
        <w:rPr>
          <w:lang w:val="fr-FR"/>
        </w:rPr>
        <w:t>il y avait eu violation de l</w:t>
      </w:r>
      <w:r w:rsidR="00F334C1">
        <w:rPr>
          <w:lang w:val="fr-FR"/>
        </w:rPr>
        <w:t>’</w:t>
      </w:r>
      <w:r w:rsidRPr="008E72F9">
        <w:rPr>
          <w:lang w:val="fr-FR"/>
        </w:rPr>
        <w:t xml:space="preserve">article 6 § 1 de la Convention et de condamner le gouvernement italien au dédommagement des préjudices subis. </w:t>
      </w:r>
      <w:r w:rsidRPr="008E72F9">
        <w:rPr>
          <w:noProof/>
          <w:lang w:val="fr-FR"/>
        </w:rPr>
        <w:t>Le requérant demanda</w:t>
      </w:r>
      <w:r w:rsidRPr="008E72F9">
        <w:rPr>
          <w:lang w:val="fr-FR"/>
        </w:rPr>
        <w:t xml:space="preserve"> notamment 30 000 EUR à titre de dommage moral et matériel.</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12</w:t>
      </w:r>
      <w:r w:rsidRPr="008E72F9">
        <w:rPr>
          <w:lang w:val="fr-FR"/>
        </w:rPr>
        <w:fldChar w:fldCharType="end"/>
      </w:r>
      <w:r w:rsidRPr="008E72F9">
        <w:rPr>
          <w:lang w:val="fr-FR"/>
        </w:rPr>
        <w:t>.  Par une décision du 29 mai 2003, déposée au greffe le 19 juin 2003, la cour d</w:t>
      </w:r>
      <w:r w:rsidR="00F334C1">
        <w:rPr>
          <w:lang w:val="fr-FR"/>
        </w:rPr>
        <w:t>’</w:t>
      </w:r>
      <w:r w:rsidRPr="008E72F9">
        <w:rPr>
          <w:lang w:val="fr-FR"/>
        </w:rPr>
        <w:t>appel considéra séparément chaque phase et instance de la procédure. Elle jugea que la durée de chaque degré de la procédure pénale n</w:t>
      </w:r>
      <w:r w:rsidR="00F334C1">
        <w:rPr>
          <w:lang w:val="fr-FR"/>
        </w:rPr>
        <w:t>’</w:t>
      </w:r>
      <w:r w:rsidRPr="008E72F9">
        <w:rPr>
          <w:lang w:val="fr-FR"/>
        </w:rPr>
        <w:t>avait pas été déraisonnable, eu égard aussi à la complexité de l</w:t>
      </w:r>
      <w:r w:rsidR="00F334C1">
        <w:rPr>
          <w:lang w:val="fr-FR"/>
        </w:rPr>
        <w:t>’</w:t>
      </w:r>
      <w:r w:rsidRPr="008E72F9">
        <w:rPr>
          <w:lang w:val="fr-FR"/>
        </w:rPr>
        <w:t>affaire, et qu</w:t>
      </w:r>
      <w:r w:rsidR="00F334C1">
        <w:rPr>
          <w:lang w:val="fr-FR"/>
        </w:rPr>
        <w:t>’</w:t>
      </w:r>
      <w:r w:rsidRPr="008E72F9">
        <w:rPr>
          <w:lang w:val="fr-FR"/>
        </w:rPr>
        <w:t>en tout état de cause le requérant n</w:t>
      </w:r>
      <w:r w:rsidR="00F334C1">
        <w:rPr>
          <w:lang w:val="fr-FR"/>
        </w:rPr>
        <w:t>’</w:t>
      </w:r>
      <w:r w:rsidRPr="008E72F9">
        <w:rPr>
          <w:lang w:val="fr-FR"/>
        </w:rPr>
        <w:t>avait pas prouvé avoir subi des dommages patrimoniaux. Elle ne se prononça pas sur le dommage moral.</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13</w:t>
      </w:r>
      <w:r w:rsidRPr="008E72F9">
        <w:rPr>
          <w:lang w:val="fr-FR"/>
        </w:rPr>
        <w:fldChar w:fldCharType="end"/>
      </w:r>
      <w:r w:rsidRPr="008E72F9">
        <w:rPr>
          <w:lang w:val="fr-FR"/>
        </w:rPr>
        <w:t>.  Quant à la période s</w:t>
      </w:r>
      <w:r w:rsidR="00F334C1">
        <w:rPr>
          <w:lang w:val="fr-FR"/>
        </w:rPr>
        <w:t>’</w:t>
      </w:r>
      <w:r w:rsidRPr="008E72F9">
        <w:rPr>
          <w:lang w:val="fr-FR"/>
        </w:rPr>
        <w:t>étant écoulée pour la procédure ministérielle d</w:t>
      </w:r>
      <w:r w:rsidR="00F334C1">
        <w:rPr>
          <w:lang w:val="fr-FR"/>
        </w:rPr>
        <w:t>’</w:t>
      </w:r>
      <w:r w:rsidRPr="008E72F9">
        <w:rPr>
          <w:lang w:val="fr-FR"/>
        </w:rPr>
        <w:t>enquête, la cour jugea qu</w:t>
      </w:r>
      <w:r w:rsidR="00F334C1">
        <w:rPr>
          <w:lang w:val="fr-FR"/>
        </w:rPr>
        <w:t>’</w:t>
      </w:r>
      <w:r w:rsidRPr="008E72F9">
        <w:rPr>
          <w:lang w:val="fr-FR"/>
        </w:rPr>
        <w:t>elle n</w:t>
      </w:r>
      <w:r w:rsidR="00F334C1">
        <w:rPr>
          <w:lang w:val="fr-FR"/>
        </w:rPr>
        <w:t>’</w:t>
      </w:r>
      <w:r w:rsidRPr="008E72F9">
        <w:rPr>
          <w:lang w:val="fr-FR"/>
        </w:rPr>
        <w:t>entrait pas en ligne de compte aux fins du délai raisonnable, les commissions chargées de l</w:t>
      </w:r>
      <w:r w:rsidR="00F334C1">
        <w:rPr>
          <w:lang w:val="fr-FR"/>
        </w:rPr>
        <w:t>’</w:t>
      </w:r>
      <w:r w:rsidRPr="008E72F9">
        <w:rPr>
          <w:lang w:val="fr-FR"/>
        </w:rPr>
        <w:t>enquête ayant une nature administrative et non judiciaire.</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14</w:t>
      </w:r>
      <w:r w:rsidRPr="008E72F9">
        <w:rPr>
          <w:lang w:val="fr-FR"/>
        </w:rPr>
        <w:fldChar w:fldCharType="end"/>
      </w:r>
      <w:r w:rsidRPr="008E72F9">
        <w:rPr>
          <w:lang w:val="fr-FR"/>
        </w:rPr>
        <w:t>.  Quant aux deux degrés de la procédure devant la Cour des comptes, elle constata aussi que la durée avait été raisonnable et exclut aussi l</w:t>
      </w:r>
      <w:r w:rsidR="00F334C1">
        <w:rPr>
          <w:lang w:val="fr-FR"/>
        </w:rPr>
        <w:t>’</w:t>
      </w:r>
      <w:r w:rsidRPr="008E72F9">
        <w:rPr>
          <w:lang w:val="fr-FR"/>
        </w:rPr>
        <w:t>existence d</w:t>
      </w:r>
      <w:r w:rsidR="00F334C1">
        <w:rPr>
          <w:lang w:val="fr-FR"/>
        </w:rPr>
        <w:t>’</w:t>
      </w:r>
      <w:r w:rsidRPr="008E72F9">
        <w:rPr>
          <w:lang w:val="fr-FR"/>
        </w:rPr>
        <w:t>un quelconque préjudice pour le requérant.</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15</w:t>
      </w:r>
      <w:r w:rsidRPr="008E72F9">
        <w:rPr>
          <w:lang w:val="fr-FR"/>
        </w:rPr>
        <w:fldChar w:fldCharType="end"/>
      </w:r>
      <w:r w:rsidRPr="008E72F9">
        <w:rPr>
          <w:lang w:val="fr-FR"/>
        </w:rPr>
        <w:t>.  Par une lettre du 29 septembre 2003, le requérant informa la Cour du fait que la cour d</w:t>
      </w:r>
      <w:r w:rsidR="00F334C1">
        <w:rPr>
          <w:lang w:val="fr-FR"/>
        </w:rPr>
        <w:t>’</w:t>
      </w:r>
      <w:r w:rsidRPr="008E72F9">
        <w:rPr>
          <w:lang w:val="fr-FR"/>
        </w:rPr>
        <w:t>appel avait rejeté son recours et qu</w:t>
      </w:r>
      <w:r w:rsidR="00F334C1">
        <w:rPr>
          <w:lang w:val="fr-FR"/>
        </w:rPr>
        <w:t>’</w:t>
      </w:r>
      <w:r w:rsidRPr="008E72F9">
        <w:rPr>
          <w:lang w:val="fr-FR"/>
        </w:rPr>
        <w:t>il n</w:t>
      </w:r>
      <w:r w:rsidR="00F334C1">
        <w:rPr>
          <w:lang w:val="fr-FR"/>
        </w:rPr>
        <w:t>’</w:t>
      </w:r>
      <w:r w:rsidRPr="008E72F9">
        <w:rPr>
          <w:lang w:val="fr-FR"/>
        </w:rPr>
        <w:t>avait pas l</w:t>
      </w:r>
      <w:r w:rsidR="00F334C1">
        <w:rPr>
          <w:lang w:val="fr-FR"/>
        </w:rPr>
        <w:t>’</w:t>
      </w:r>
      <w:r w:rsidRPr="008E72F9">
        <w:rPr>
          <w:lang w:val="fr-FR"/>
        </w:rPr>
        <w:t>intention de se pourvoir en cassation. La première requête du requérant fut ainsi déclarée irrecevable pour non-épuisement des voies de recours internes (</w:t>
      </w:r>
      <w:r w:rsidRPr="008E72F9">
        <w:rPr>
          <w:i/>
          <w:lang w:val="fr-FR"/>
        </w:rPr>
        <w:t xml:space="preserve">Mazzoni c. Italie </w:t>
      </w:r>
      <w:r w:rsidRPr="008E72F9">
        <w:rPr>
          <w:lang w:val="fr-FR"/>
        </w:rPr>
        <w:t>(déc.), n</w:t>
      </w:r>
      <w:r w:rsidRPr="008E72F9">
        <w:rPr>
          <w:vertAlign w:val="superscript"/>
          <w:lang w:val="fr-FR"/>
        </w:rPr>
        <w:t>o</w:t>
      </w:r>
      <w:r w:rsidRPr="008E72F9">
        <w:rPr>
          <w:lang w:val="fr-FR"/>
        </w:rPr>
        <w:t xml:space="preserve"> 62355/00, 25 mars 2004).</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16</w:t>
      </w:r>
      <w:r w:rsidRPr="008E72F9">
        <w:rPr>
          <w:lang w:val="fr-FR"/>
        </w:rPr>
        <w:fldChar w:fldCharType="end"/>
      </w:r>
      <w:r w:rsidRPr="008E72F9">
        <w:rPr>
          <w:lang w:val="fr-FR"/>
        </w:rPr>
        <w:t xml:space="preserve">.  Le 22 juin 2004, le requérant se </w:t>
      </w:r>
      <w:r w:rsidR="00723D67" w:rsidRPr="008E72F9">
        <w:rPr>
          <w:lang w:val="fr-FR"/>
        </w:rPr>
        <w:t>pourvu</w:t>
      </w:r>
      <w:r w:rsidRPr="008E72F9">
        <w:rPr>
          <w:lang w:val="fr-FR"/>
        </w:rPr>
        <w:t xml:space="preserve"> en cassation alléguant, notamment, que la cour d</w:t>
      </w:r>
      <w:r w:rsidR="00F334C1">
        <w:rPr>
          <w:lang w:val="fr-FR"/>
        </w:rPr>
        <w:t>’</w:t>
      </w:r>
      <w:r w:rsidRPr="008E72F9">
        <w:rPr>
          <w:lang w:val="fr-FR"/>
        </w:rPr>
        <w:t>appel avait méconnu la jurisprudence de la Cour au motif qu</w:t>
      </w:r>
      <w:r w:rsidR="00F334C1">
        <w:rPr>
          <w:lang w:val="fr-FR"/>
        </w:rPr>
        <w:t>’</w:t>
      </w:r>
      <w:r w:rsidRPr="008E72F9">
        <w:rPr>
          <w:lang w:val="fr-FR"/>
        </w:rPr>
        <w:t>elle avait considéré raisonnable la durée des procédures pénale et comptable et n</w:t>
      </w:r>
      <w:r w:rsidR="00F334C1">
        <w:rPr>
          <w:lang w:val="fr-FR"/>
        </w:rPr>
        <w:t>’</w:t>
      </w:r>
      <w:r w:rsidRPr="008E72F9">
        <w:rPr>
          <w:lang w:val="fr-FR"/>
        </w:rPr>
        <w:t>avait pas pris en compte la durée de la phase administrative devant les deux commissions d</w:t>
      </w:r>
      <w:r w:rsidR="00F334C1">
        <w:rPr>
          <w:lang w:val="fr-FR"/>
        </w:rPr>
        <w:t>’</w:t>
      </w:r>
      <w:r w:rsidRPr="008E72F9">
        <w:rPr>
          <w:lang w:val="fr-FR"/>
        </w:rPr>
        <w:t>enquête. Il en inférait la violation de son droit à être indemnisé.</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17</w:t>
      </w:r>
      <w:r w:rsidRPr="008E72F9">
        <w:rPr>
          <w:lang w:val="fr-FR"/>
        </w:rPr>
        <w:fldChar w:fldCharType="end"/>
      </w:r>
      <w:r w:rsidRPr="008E72F9">
        <w:rPr>
          <w:lang w:val="fr-FR"/>
        </w:rPr>
        <w:t>.  Par un arrêt du 22 juin 2005, déposé au greffe le 17 novembre 2005, le Cour de cassation déclara le pourvoi irrecevable. Ayant confirmé la décision de la cour d</w:t>
      </w:r>
      <w:r w:rsidR="00F334C1">
        <w:rPr>
          <w:lang w:val="fr-FR"/>
        </w:rPr>
        <w:t>’</w:t>
      </w:r>
      <w:r w:rsidRPr="008E72F9">
        <w:rPr>
          <w:lang w:val="fr-FR"/>
        </w:rPr>
        <w:t>appel quant à l</w:t>
      </w:r>
      <w:r w:rsidR="00F334C1">
        <w:rPr>
          <w:lang w:val="fr-FR"/>
        </w:rPr>
        <w:t>’</w:t>
      </w:r>
      <w:r w:rsidRPr="008E72F9">
        <w:rPr>
          <w:lang w:val="fr-FR"/>
        </w:rPr>
        <w:t>impossibilité de réparer le dommage découlant de la durée de la procédure devant les autorités administratives, elle releva que les griefs du requérant ne visaient pas les considérations de la cour d</w:t>
      </w:r>
      <w:r w:rsidR="00F334C1">
        <w:rPr>
          <w:lang w:val="fr-FR"/>
        </w:rPr>
        <w:t>’</w:t>
      </w:r>
      <w:r w:rsidRPr="008E72F9">
        <w:rPr>
          <w:lang w:val="fr-FR"/>
        </w:rPr>
        <w:t>appel selon lesquelles le requérant n</w:t>
      </w:r>
      <w:r w:rsidR="00F334C1">
        <w:rPr>
          <w:lang w:val="fr-FR"/>
        </w:rPr>
        <w:t>’</w:t>
      </w:r>
      <w:r w:rsidRPr="008E72F9">
        <w:rPr>
          <w:lang w:val="fr-FR"/>
        </w:rPr>
        <w:t>avait subi ni un dommage patrimonial à cause de la durée de la procédure pénale, ni un dommage matériel ou moral à cause de la durée de la procédure devant les juridictions comptables. Suivant sa jurisprudence bien établie, la Cour de cassation jugea que, même à supposer bien fondé le grief du requérant, la décision entreprise pouvait être considérée comme se fondant sur l</w:t>
      </w:r>
      <w:r w:rsidR="00F334C1">
        <w:rPr>
          <w:lang w:val="fr-FR"/>
        </w:rPr>
        <w:t>’</w:t>
      </w:r>
      <w:r w:rsidRPr="008E72F9">
        <w:rPr>
          <w:lang w:val="fr-FR"/>
        </w:rPr>
        <w:t xml:space="preserve">autre </w:t>
      </w:r>
      <w:r w:rsidRPr="008E72F9">
        <w:rPr>
          <w:i/>
          <w:lang w:val="fr-FR"/>
        </w:rPr>
        <w:t>ratio decidendi</w:t>
      </w:r>
      <w:r w:rsidRPr="008E72F9">
        <w:rPr>
          <w:lang w:val="fr-FR"/>
        </w:rPr>
        <w:t xml:space="preserve"> de la motivation, à savoir l</w:t>
      </w:r>
      <w:r w:rsidR="00F334C1">
        <w:rPr>
          <w:lang w:val="fr-FR"/>
        </w:rPr>
        <w:t>’</w:t>
      </w:r>
      <w:r w:rsidRPr="008E72F9">
        <w:rPr>
          <w:lang w:val="fr-FR"/>
        </w:rPr>
        <w:t>exclusion du dommage moral, en l</w:t>
      </w:r>
      <w:r w:rsidR="00F334C1">
        <w:rPr>
          <w:lang w:val="fr-FR"/>
        </w:rPr>
        <w:t>’</w:t>
      </w:r>
      <w:r w:rsidRPr="008E72F9">
        <w:rPr>
          <w:lang w:val="fr-FR"/>
        </w:rPr>
        <w:t>espèce non contestée. Elle ajouta qu</w:t>
      </w:r>
      <w:r w:rsidR="00F334C1">
        <w:rPr>
          <w:lang w:val="fr-FR"/>
        </w:rPr>
        <w:t>’</w:t>
      </w:r>
      <w:r w:rsidRPr="008E72F9">
        <w:rPr>
          <w:lang w:val="fr-FR"/>
        </w:rPr>
        <w:t>aucun poids ne pouvait être attribué au fait que la cour d</w:t>
      </w:r>
      <w:r w:rsidR="00F334C1">
        <w:rPr>
          <w:lang w:val="fr-FR"/>
        </w:rPr>
        <w:t>’</w:t>
      </w:r>
      <w:r w:rsidRPr="008E72F9">
        <w:rPr>
          <w:lang w:val="fr-FR"/>
        </w:rPr>
        <w:t>appel, quant à la durée de la procédure pénale, avait omis de se prononcer sur le dommage moral, le requérant n</w:t>
      </w:r>
      <w:r w:rsidR="00F334C1">
        <w:rPr>
          <w:lang w:val="fr-FR"/>
        </w:rPr>
        <w:t>’</w:t>
      </w:r>
      <w:r w:rsidRPr="008E72F9">
        <w:rPr>
          <w:lang w:val="fr-FR"/>
        </w:rPr>
        <w:t>ayant pas soulevé ce grief.</w:t>
      </w:r>
    </w:p>
    <w:p w:rsidR="008E72F9" w:rsidRPr="008E72F9" w:rsidRDefault="008E72F9" w:rsidP="00EB0D62">
      <w:pPr>
        <w:pStyle w:val="ECHRHeading2"/>
        <w:rPr>
          <w:i/>
          <w:lang w:val="fr-FR"/>
        </w:rPr>
      </w:pPr>
      <w:r w:rsidRPr="008E72F9">
        <w:rPr>
          <w:lang w:val="fr-FR"/>
        </w:rPr>
        <w:t>B.  La reconnaissance de la créance du requérant envers le ministère de la Défense</w:t>
      </w:r>
      <w:r w:rsidR="00455C00">
        <w:rPr>
          <w:lang w:val="fr-FR"/>
        </w:rPr>
        <w:t xml:space="preserve"> et la compensation de celle-ci</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18</w:t>
      </w:r>
      <w:r w:rsidRPr="008E72F9">
        <w:rPr>
          <w:lang w:val="fr-FR"/>
        </w:rPr>
        <w:fldChar w:fldCharType="end"/>
      </w:r>
      <w:r w:rsidRPr="008E72F9">
        <w:rPr>
          <w:lang w:val="fr-FR"/>
        </w:rPr>
        <w:t>.  Entretemps, par un jugement du 23 mars 2001, le tribunal administratif régional (TAR) du Frioul avait reconnu le droit du requérant à percevoir des arriérés de salaire.</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19</w:t>
      </w:r>
      <w:r w:rsidRPr="008E72F9">
        <w:rPr>
          <w:lang w:val="fr-FR"/>
        </w:rPr>
        <w:fldChar w:fldCharType="end"/>
      </w:r>
      <w:r w:rsidRPr="008E72F9">
        <w:rPr>
          <w:lang w:val="fr-FR"/>
        </w:rPr>
        <w:t>.  Le ministère de la Défense examina préalablement la possibilité de procéder à la compensation entre la créance du requérant et la somme dont celui-ci était débiteur suite à l</w:t>
      </w:r>
      <w:r w:rsidR="00F334C1">
        <w:rPr>
          <w:lang w:val="fr-FR"/>
        </w:rPr>
        <w:t>’</w:t>
      </w:r>
      <w:r w:rsidRPr="008E72F9">
        <w:rPr>
          <w:lang w:val="fr-FR"/>
        </w:rPr>
        <w:t>arrêt de la Cour des comptes et qui, par l</w:t>
      </w:r>
      <w:r w:rsidR="00F334C1">
        <w:rPr>
          <w:lang w:val="fr-FR"/>
        </w:rPr>
        <w:t>’</w:t>
      </w:r>
      <w:r w:rsidRPr="008E72F9">
        <w:rPr>
          <w:lang w:val="fr-FR"/>
        </w:rPr>
        <w:t>effet de la réévaluation et des intérêts, avait atteint 1 373 188 EUR. Interpellé à ce sujet, le 30 mai 2004, le bureau des Avocats de l</w:t>
      </w:r>
      <w:r w:rsidR="00F334C1">
        <w:rPr>
          <w:lang w:val="fr-FR"/>
        </w:rPr>
        <w:t>’</w:t>
      </w:r>
      <w:r w:rsidRPr="008E72F9">
        <w:rPr>
          <w:lang w:val="fr-FR"/>
        </w:rPr>
        <w:t>État donna son avis. Il conclut que la créance du requérant, bien que relative à des arriérés, avait une nature salariale. La compensation ne pouvait avoir lieu que dans les limites prévues par l</w:t>
      </w:r>
      <w:r w:rsidR="00F334C1">
        <w:rPr>
          <w:lang w:val="fr-FR"/>
        </w:rPr>
        <w:t>’</w:t>
      </w:r>
      <w:r w:rsidRPr="008E72F9">
        <w:rPr>
          <w:lang w:val="fr-FR"/>
        </w:rPr>
        <w:t>article 1246 du code civil (excluant la possibilité de compenser « les créances insaisissables »), en combinaison avec les articles 1 et 2 du décret du Président de la République n</w:t>
      </w:r>
      <w:r w:rsidRPr="008E72F9">
        <w:rPr>
          <w:vertAlign w:val="superscript"/>
          <w:lang w:val="fr-FR"/>
        </w:rPr>
        <w:t>o</w:t>
      </w:r>
      <w:r w:rsidRPr="008E72F9">
        <w:rPr>
          <w:lang w:val="fr-FR"/>
        </w:rPr>
        <w:t xml:space="preserve"> 180 du 5 janvier 1950 (aux termes desquels les salaires et les pensions des fonctionnaires publiques sont saisissables  seulement « à concurrence d</w:t>
      </w:r>
      <w:r w:rsidR="00F334C1">
        <w:rPr>
          <w:lang w:val="fr-FR"/>
        </w:rPr>
        <w:t>’</w:t>
      </w:r>
      <w:r w:rsidRPr="008E72F9">
        <w:rPr>
          <w:lang w:val="fr-FR"/>
        </w:rPr>
        <w:t>un cinquième, pour dettes envers [l</w:t>
      </w:r>
      <w:r w:rsidR="00F334C1">
        <w:rPr>
          <w:lang w:val="fr-FR"/>
        </w:rPr>
        <w:t>’</w:t>
      </w:r>
      <w:r w:rsidRPr="008E72F9">
        <w:rPr>
          <w:lang w:val="fr-FR"/>
        </w:rPr>
        <w:t>Administration] découlant du rapport d</w:t>
      </w:r>
      <w:r w:rsidR="00F334C1">
        <w:rPr>
          <w:lang w:val="fr-FR"/>
        </w:rPr>
        <w:t>’</w:t>
      </w:r>
      <w:r w:rsidRPr="008E72F9">
        <w:rPr>
          <w:lang w:val="fr-FR"/>
        </w:rPr>
        <w:t>emploi »). Par un arrêté du 5 juillet 2004, le ministère de la Défense ordonna la compensation des sommes dues au requérant dans les limites légales.</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20</w:t>
      </w:r>
      <w:r w:rsidRPr="008E72F9">
        <w:rPr>
          <w:lang w:val="fr-FR"/>
        </w:rPr>
        <w:fldChar w:fldCharType="end"/>
      </w:r>
      <w:r w:rsidRPr="008E72F9">
        <w:rPr>
          <w:lang w:val="fr-FR"/>
        </w:rPr>
        <w:t>.  À une date non précisée, le TAR du Frioul fixa à 149 300,06 EUR le montant de la créance du requérant.</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21</w:t>
      </w:r>
      <w:r w:rsidRPr="008E72F9">
        <w:rPr>
          <w:lang w:val="fr-FR"/>
        </w:rPr>
        <w:fldChar w:fldCharType="end"/>
      </w:r>
      <w:r w:rsidRPr="008E72F9">
        <w:rPr>
          <w:lang w:val="fr-FR"/>
        </w:rPr>
        <w:t>.  En novembre 2004 et en janvier 2007, le ministère de la Défense s</w:t>
      </w:r>
      <w:r w:rsidR="00F334C1">
        <w:rPr>
          <w:lang w:val="fr-FR"/>
        </w:rPr>
        <w:t>’</w:t>
      </w:r>
      <w:r w:rsidRPr="008E72F9">
        <w:rPr>
          <w:lang w:val="fr-FR"/>
        </w:rPr>
        <w:t>adressa à nouveau au bureau des Avocats de l</w:t>
      </w:r>
      <w:r w:rsidR="00F334C1">
        <w:rPr>
          <w:lang w:val="fr-FR"/>
        </w:rPr>
        <w:t>’</w:t>
      </w:r>
      <w:r w:rsidRPr="008E72F9">
        <w:rPr>
          <w:lang w:val="fr-FR"/>
        </w:rPr>
        <w:t>État sur le même sujet. Le bureau donna deux opinions favorables à la possibilité de compensation intégrale. À cet égard, il se fonda sur deux ordres de considérations, en relevant, d</w:t>
      </w:r>
      <w:r w:rsidR="00F334C1">
        <w:rPr>
          <w:lang w:val="fr-FR"/>
        </w:rPr>
        <w:t>’</w:t>
      </w:r>
      <w:r w:rsidRPr="008E72F9">
        <w:rPr>
          <w:lang w:val="fr-FR"/>
        </w:rPr>
        <w:t>une part, que la nature de la créance permettait d</w:t>
      </w:r>
      <w:r w:rsidR="00F334C1">
        <w:rPr>
          <w:lang w:val="fr-FR"/>
        </w:rPr>
        <w:t>’</w:t>
      </w:r>
      <w:r w:rsidRPr="008E72F9">
        <w:rPr>
          <w:lang w:val="fr-FR"/>
        </w:rPr>
        <w:t>exclure l</w:t>
      </w:r>
      <w:r w:rsidR="00F334C1">
        <w:rPr>
          <w:lang w:val="fr-FR"/>
        </w:rPr>
        <w:t>’</w:t>
      </w:r>
      <w:r w:rsidRPr="008E72F9">
        <w:rPr>
          <w:lang w:val="fr-FR"/>
        </w:rPr>
        <w:t>application des limites légales du cinquième et, d</w:t>
      </w:r>
      <w:r w:rsidR="00F334C1">
        <w:rPr>
          <w:lang w:val="fr-FR"/>
        </w:rPr>
        <w:t>’</w:t>
      </w:r>
      <w:r w:rsidRPr="008E72F9">
        <w:rPr>
          <w:lang w:val="fr-FR"/>
        </w:rPr>
        <w:t>autre part, que dans le cas d</w:t>
      </w:r>
      <w:r w:rsidR="00F334C1">
        <w:rPr>
          <w:lang w:val="fr-FR"/>
        </w:rPr>
        <w:t>’</w:t>
      </w:r>
      <w:r w:rsidRPr="008E72F9">
        <w:rPr>
          <w:lang w:val="fr-FR"/>
        </w:rPr>
        <w:t>espèce la jurisprudence de la Cour de cassation sur la compensation a-technique (</w:t>
      </w:r>
      <w:r w:rsidRPr="008E72F9">
        <w:rPr>
          <w:i/>
          <w:lang w:val="fr-FR"/>
        </w:rPr>
        <w:t>compensazione atecnica</w:t>
      </w:r>
      <w:r w:rsidRPr="008E72F9">
        <w:rPr>
          <w:lang w:val="fr-FR"/>
        </w:rPr>
        <w:t>) pouvait trouver application. Selon cette jurisprudence bien établie, la compensation a-technique est possible lorsque la dette et la créance trouvent leur origine dans le même rapport juridique (notamment le rapport de travail). Dans ce cas, il ne s</w:t>
      </w:r>
      <w:r w:rsidR="00F334C1">
        <w:rPr>
          <w:lang w:val="fr-FR"/>
        </w:rPr>
        <w:t>’</w:t>
      </w:r>
      <w:r w:rsidRPr="008E72F9">
        <w:rPr>
          <w:lang w:val="fr-FR"/>
        </w:rPr>
        <w:t>agit pas d</w:t>
      </w:r>
      <w:r w:rsidR="00F334C1">
        <w:rPr>
          <w:lang w:val="fr-FR"/>
        </w:rPr>
        <w:t>’</w:t>
      </w:r>
      <w:r w:rsidRPr="008E72F9">
        <w:rPr>
          <w:lang w:val="fr-FR"/>
        </w:rPr>
        <w:t>une compensation au sens propre mais d</w:t>
      </w:r>
      <w:r w:rsidR="00F334C1">
        <w:rPr>
          <w:lang w:val="fr-FR"/>
        </w:rPr>
        <w:t>’</w:t>
      </w:r>
      <w:r w:rsidRPr="008E72F9">
        <w:rPr>
          <w:lang w:val="fr-FR"/>
        </w:rPr>
        <w:t xml:space="preserve">une simple « vérification comptable des actifs et passifs avec neutralisation automatique des créances respectives » (définie </w:t>
      </w:r>
      <w:r w:rsidRPr="008E72F9">
        <w:rPr>
          <w:i/>
          <w:lang w:val="fr-FR"/>
        </w:rPr>
        <w:t>compensazione atecnica</w:t>
      </w:r>
      <w:r w:rsidRPr="008E72F9">
        <w:rPr>
          <w:lang w:val="fr-FR"/>
        </w:rPr>
        <w:t>), ce qui exclut l</w:t>
      </w:r>
      <w:r w:rsidR="00F334C1">
        <w:rPr>
          <w:lang w:val="fr-FR"/>
        </w:rPr>
        <w:t>’</w:t>
      </w:r>
      <w:r w:rsidRPr="008E72F9">
        <w:rPr>
          <w:lang w:val="fr-FR"/>
        </w:rPr>
        <w:t>applicabilité des limites légales à la compensation. Le bureau des Avocats de l</w:t>
      </w:r>
      <w:r w:rsidR="00F334C1">
        <w:rPr>
          <w:lang w:val="fr-FR"/>
        </w:rPr>
        <w:t>’</w:t>
      </w:r>
      <w:r w:rsidRPr="008E72F9">
        <w:rPr>
          <w:lang w:val="fr-FR"/>
        </w:rPr>
        <w:t>État suggéra au ministère de procéder à la compensation intégrale et de défendre cette position dans un éventuel contentieux.</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22</w:t>
      </w:r>
      <w:r w:rsidRPr="008E72F9">
        <w:rPr>
          <w:lang w:val="fr-FR"/>
        </w:rPr>
        <w:fldChar w:fldCharType="end"/>
      </w:r>
      <w:r w:rsidRPr="008E72F9">
        <w:rPr>
          <w:lang w:val="fr-FR"/>
        </w:rPr>
        <w:t>.  Par un arrêté du 26 juin 2007, estimant que les limites à la compensation n</w:t>
      </w:r>
      <w:r w:rsidR="00F334C1">
        <w:rPr>
          <w:lang w:val="fr-FR"/>
        </w:rPr>
        <w:t>’</w:t>
      </w:r>
      <w:r w:rsidRPr="008E72F9">
        <w:rPr>
          <w:lang w:val="fr-FR"/>
        </w:rPr>
        <w:t>étaient pas applicable en l</w:t>
      </w:r>
      <w:r w:rsidR="00F334C1">
        <w:rPr>
          <w:lang w:val="fr-FR"/>
        </w:rPr>
        <w:t>’</w:t>
      </w:r>
      <w:r w:rsidRPr="008E72F9">
        <w:rPr>
          <w:lang w:val="fr-FR"/>
        </w:rPr>
        <w:t>espèce, le ministère ordonna la retenue du total de la somme due au requérant en compensation partielle de la somme dont celui-ci était débiteur.</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23</w:t>
      </w:r>
      <w:r w:rsidRPr="008E72F9">
        <w:rPr>
          <w:lang w:val="fr-FR"/>
        </w:rPr>
        <w:fldChar w:fldCharType="end"/>
      </w:r>
      <w:r w:rsidRPr="008E72F9">
        <w:rPr>
          <w:lang w:val="fr-FR"/>
        </w:rPr>
        <w:t>.  Le 7 novembre 2007, le requérant saisit le TAR du Frioul d</w:t>
      </w:r>
      <w:r w:rsidR="00F334C1">
        <w:rPr>
          <w:lang w:val="fr-FR"/>
        </w:rPr>
        <w:t>’</w:t>
      </w:r>
      <w:r w:rsidRPr="008E72F9">
        <w:rPr>
          <w:lang w:val="fr-FR"/>
        </w:rPr>
        <w:t>une requête en annulation. Premièrement, il soutenait que la dette opposée en compensation était prescrite. Deuxièmement, il alléguait que la créance portant sur des arriérés de salaire, elle ne pouvait faire l</w:t>
      </w:r>
      <w:r w:rsidR="00F334C1">
        <w:rPr>
          <w:lang w:val="fr-FR"/>
        </w:rPr>
        <w:t>’</w:t>
      </w:r>
      <w:r w:rsidRPr="008E72F9">
        <w:rPr>
          <w:lang w:val="fr-FR"/>
        </w:rPr>
        <w:t>objet de compensation qu</w:t>
      </w:r>
      <w:r w:rsidR="00F334C1">
        <w:rPr>
          <w:lang w:val="fr-FR"/>
        </w:rPr>
        <w:t>’</w:t>
      </w:r>
      <w:r w:rsidRPr="008E72F9">
        <w:rPr>
          <w:lang w:val="fr-FR"/>
        </w:rPr>
        <w:t>à concurrence d</w:t>
      </w:r>
      <w:r w:rsidR="00F334C1">
        <w:rPr>
          <w:lang w:val="fr-FR"/>
        </w:rPr>
        <w:t>’</w:t>
      </w:r>
      <w:r w:rsidRPr="008E72F9">
        <w:rPr>
          <w:lang w:val="fr-FR"/>
        </w:rPr>
        <w:t>un cinquième de son montant total. Troisièmement, il soutenait que le ministère était forclos à exciper la compensation du total car il l</w:t>
      </w:r>
      <w:r w:rsidR="00F334C1">
        <w:rPr>
          <w:lang w:val="fr-FR"/>
        </w:rPr>
        <w:t>’</w:t>
      </w:r>
      <w:r w:rsidRPr="008E72F9">
        <w:rPr>
          <w:lang w:val="fr-FR"/>
        </w:rPr>
        <w:t>avait exclue dans un premier temps.</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24</w:t>
      </w:r>
      <w:r w:rsidRPr="008E72F9">
        <w:rPr>
          <w:lang w:val="fr-FR"/>
        </w:rPr>
        <w:fldChar w:fldCharType="end"/>
      </w:r>
      <w:r w:rsidRPr="008E72F9">
        <w:rPr>
          <w:lang w:val="fr-FR"/>
        </w:rPr>
        <w:t>.  Par un jugement du 21 mai 2008, déposé au greffe le 11 juillet 2008, le TAR du Frioul débouta le requérant. Ayant rejeté les premier et troisième griefs pour défaut manifeste de fondement, le TAR jugea que les limites à la compensation des créances de nature salariale ne trouvaient pas application en l</w:t>
      </w:r>
      <w:r w:rsidR="00F334C1">
        <w:rPr>
          <w:lang w:val="fr-FR"/>
        </w:rPr>
        <w:t>’</w:t>
      </w:r>
      <w:r w:rsidRPr="008E72F9">
        <w:rPr>
          <w:lang w:val="fr-FR"/>
        </w:rPr>
        <w:t>espèce. D</w:t>
      </w:r>
      <w:r w:rsidR="00F334C1">
        <w:rPr>
          <w:lang w:val="fr-FR"/>
        </w:rPr>
        <w:t>’</w:t>
      </w:r>
      <w:r w:rsidRPr="008E72F9">
        <w:rPr>
          <w:lang w:val="fr-FR"/>
        </w:rPr>
        <w:t>une part, le TAR releva que, bien que de nature salariale, les sommes litigieuses portaient sur des arriérés et avaient ainsi perdu le caractère de créance vitale justifiant l</w:t>
      </w:r>
      <w:r w:rsidR="00F334C1">
        <w:rPr>
          <w:lang w:val="fr-FR"/>
        </w:rPr>
        <w:t>’</w:t>
      </w:r>
      <w:r w:rsidRPr="008E72F9">
        <w:rPr>
          <w:lang w:val="fr-FR"/>
        </w:rPr>
        <w:t>insaisissabilité. D</w:t>
      </w:r>
      <w:r w:rsidR="00F334C1">
        <w:rPr>
          <w:lang w:val="fr-FR"/>
        </w:rPr>
        <w:t>’</w:t>
      </w:r>
      <w:r w:rsidRPr="008E72F9">
        <w:rPr>
          <w:lang w:val="fr-FR"/>
        </w:rPr>
        <w:t>autre part, le TAR se fonda sur la jurisprudence relative</w:t>
      </w:r>
      <w:r w:rsidR="00DC468C">
        <w:rPr>
          <w:lang w:val="fr-FR"/>
        </w:rPr>
        <w:t xml:space="preserve"> à la compensation a-technique.</w:t>
      </w:r>
    </w:p>
    <w:p w:rsidR="008E72F9" w:rsidRPr="008E72F9" w:rsidRDefault="008E72F9" w:rsidP="00EB0D62">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25</w:t>
      </w:r>
      <w:r w:rsidRPr="008E72F9">
        <w:rPr>
          <w:lang w:val="fr-FR"/>
        </w:rPr>
        <w:fldChar w:fldCharType="end"/>
      </w:r>
      <w:r w:rsidRPr="008E72F9">
        <w:rPr>
          <w:lang w:val="fr-FR"/>
        </w:rPr>
        <w:t>.  Par un arrêt du 17 avril 2009, le Conseil d</w:t>
      </w:r>
      <w:r w:rsidR="00F334C1">
        <w:rPr>
          <w:lang w:val="fr-FR"/>
        </w:rPr>
        <w:t>’</w:t>
      </w:r>
      <w:r w:rsidRPr="008E72F9">
        <w:rPr>
          <w:lang w:val="fr-FR"/>
        </w:rPr>
        <w:t>état rejeta le recours du requérant pour les mêmes motifs.</w:t>
      </w:r>
    </w:p>
    <w:p w:rsidR="008E72F9" w:rsidRPr="008E72F9" w:rsidRDefault="008E72F9" w:rsidP="00AE5750">
      <w:pPr>
        <w:pStyle w:val="ECHRHeading1"/>
        <w:rPr>
          <w:lang w:val="fr-FR"/>
        </w:rPr>
      </w:pPr>
      <w:r w:rsidRPr="008E72F9">
        <w:rPr>
          <w:lang w:val="fr-FR"/>
        </w:rPr>
        <w:t>II.  LE DROIT ET LA PRATIQUE INTERNES PERTINENTS</w:t>
      </w:r>
    </w:p>
    <w:p w:rsidR="008E72F9" w:rsidRPr="008E72F9" w:rsidRDefault="008E72F9" w:rsidP="00EA6476">
      <w:pPr>
        <w:pStyle w:val="ECHRHeading2"/>
        <w:rPr>
          <w:i/>
          <w:lang w:val="fr-FR"/>
        </w:rPr>
      </w:pPr>
      <w:r w:rsidRPr="008E72F9">
        <w:rPr>
          <w:lang w:val="fr-FR"/>
        </w:rPr>
        <w:t>A.  Sur le recours indemnitaire pour violation du droit à un procès dans un délai raisonnable</w:t>
      </w:r>
    </w:p>
    <w:p w:rsidR="008E72F9" w:rsidRPr="008E72F9" w:rsidRDefault="008E72F9" w:rsidP="005F49A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26</w:t>
      </w:r>
      <w:r w:rsidRPr="008E72F9">
        <w:rPr>
          <w:lang w:val="fr-FR"/>
        </w:rPr>
        <w:fldChar w:fldCharType="end"/>
      </w:r>
      <w:r w:rsidRPr="008E72F9">
        <w:rPr>
          <w:lang w:val="fr-FR"/>
        </w:rPr>
        <w:t>.  Le droit et la pratique internes pertinents relatifs à la loi n</w:t>
      </w:r>
      <w:r w:rsidRPr="008E72F9">
        <w:rPr>
          <w:vertAlign w:val="superscript"/>
          <w:lang w:val="fr-FR"/>
        </w:rPr>
        <w:t>o</w:t>
      </w:r>
      <w:r w:rsidRPr="008E72F9">
        <w:rPr>
          <w:lang w:val="fr-FR"/>
        </w:rPr>
        <w:t> 89 du 24 mars 2001, dite « loi Pinto », figurent dans l</w:t>
      </w:r>
      <w:r w:rsidR="00F334C1">
        <w:rPr>
          <w:lang w:val="fr-FR"/>
        </w:rPr>
        <w:t>’</w:t>
      </w:r>
      <w:r w:rsidRPr="008E72F9">
        <w:rPr>
          <w:lang w:val="fr-FR"/>
        </w:rPr>
        <w:t xml:space="preserve">arrêt </w:t>
      </w:r>
      <w:r w:rsidRPr="008E72F9">
        <w:rPr>
          <w:i/>
          <w:szCs w:val="24"/>
          <w:lang w:val="fr-FR"/>
        </w:rPr>
        <w:t xml:space="preserve">Cocchiarella c. </w:t>
      </w:r>
      <w:r w:rsidRPr="008E72F9">
        <w:rPr>
          <w:i/>
          <w:spacing w:val="-2"/>
          <w:szCs w:val="24"/>
          <w:lang w:val="fr-FR"/>
        </w:rPr>
        <w:t>Italie</w:t>
      </w:r>
      <w:r w:rsidRPr="008E72F9">
        <w:rPr>
          <w:szCs w:val="24"/>
          <w:lang w:val="fr-FR"/>
        </w:rPr>
        <w:t xml:space="preserve"> ([GC], n</w:t>
      </w:r>
      <w:r w:rsidRPr="008E72F9">
        <w:rPr>
          <w:szCs w:val="24"/>
          <w:vertAlign w:val="superscript"/>
          <w:lang w:val="fr-FR"/>
        </w:rPr>
        <w:t>o</w:t>
      </w:r>
      <w:r w:rsidRPr="008E72F9">
        <w:rPr>
          <w:szCs w:val="24"/>
          <w:lang w:val="fr-FR"/>
        </w:rPr>
        <w:t xml:space="preserve"> 64886/01, §§ 23-31, CEDH 2006</w:t>
      </w:r>
      <w:r w:rsidRPr="008E72F9">
        <w:rPr>
          <w:szCs w:val="24"/>
          <w:lang w:val="fr-FR"/>
        </w:rPr>
        <w:noBreakHyphen/>
        <w:t>V)</w:t>
      </w:r>
      <w:r w:rsidRPr="008E72F9">
        <w:rPr>
          <w:lang w:val="fr-FR"/>
        </w:rPr>
        <w:t>.</w:t>
      </w:r>
    </w:p>
    <w:p w:rsidR="008E72F9" w:rsidRPr="008E72F9" w:rsidRDefault="008E72F9" w:rsidP="00D2306B">
      <w:pPr>
        <w:pStyle w:val="ECHRHeading2"/>
        <w:rPr>
          <w:i/>
          <w:lang w:val="fr-FR"/>
        </w:rPr>
      </w:pPr>
      <w:r w:rsidRPr="008E72F9">
        <w:rPr>
          <w:lang w:val="fr-FR"/>
        </w:rPr>
        <w:t>B.  En matière de compensation et saisie des salaires, pensions et autres sommes assimilées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27</w:t>
      </w:r>
      <w:r w:rsidRPr="008E72F9">
        <w:rPr>
          <w:lang w:val="fr-FR"/>
        </w:rPr>
        <w:fldChar w:fldCharType="end"/>
      </w:r>
      <w:r w:rsidRPr="008E72F9">
        <w:rPr>
          <w:lang w:val="fr-FR"/>
        </w:rPr>
        <w:t>. L</w:t>
      </w:r>
      <w:r w:rsidR="00F334C1">
        <w:rPr>
          <w:lang w:val="fr-FR"/>
        </w:rPr>
        <w:t>’</w:t>
      </w:r>
      <w:r w:rsidRPr="008E72F9">
        <w:rPr>
          <w:lang w:val="fr-FR"/>
        </w:rPr>
        <w:t>article 1246, alinéa 1, n</w:t>
      </w:r>
      <w:r w:rsidR="00F334C1" w:rsidRPr="00F334C1">
        <w:rPr>
          <w:vertAlign w:val="superscript"/>
          <w:lang w:val="fr-FR"/>
        </w:rPr>
        <w:t>o</w:t>
      </w:r>
      <w:r w:rsidRPr="008E72F9">
        <w:rPr>
          <w:lang w:val="fr-FR"/>
        </w:rPr>
        <w:t>3 du code civil italien exclut la compensation d</w:t>
      </w:r>
      <w:r w:rsidR="00F334C1">
        <w:rPr>
          <w:lang w:val="fr-FR"/>
        </w:rPr>
        <w:t>’</w:t>
      </w:r>
      <w:r w:rsidRPr="008E72F9">
        <w:rPr>
          <w:lang w:val="fr-FR"/>
        </w:rPr>
        <w:t>une dette avec une « créance déclarée insaisissable ».</w:t>
      </w:r>
    </w:p>
    <w:p w:rsidR="008E72F9" w:rsidRPr="008E72F9" w:rsidRDefault="008E72F9" w:rsidP="00D2306B">
      <w:pPr>
        <w:pStyle w:val="ECHRHeading3"/>
        <w:rPr>
          <w:b/>
          <w:lang w:val="fr-FR"/>
        </w:rPr>
      </w:pPr>
      <w:r w:rsidRPr="008E72F9">
        <w:rPr>
          <w:lang w:val="fr-FR"/>
        </w:rPr>
        <w:t>1.  La saisie des salaires et des pensions dans le cadre du rapport de travail de droit privé</w:t>
      </w:r>
    </w:p>
    <w:p w:rsidR="00F334C1"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28</w:t>
      </w:r>
      <w:r w:rsidRPr="008E72F9">
        <w:rPr>
          <w:lang w:val="fr-FR"/>
        </w:rPr>
        <w:fldChar w:fldCharType="end"/>
      </w:r>
      <w:r w:rsidRPr="008E72F9">
        <w:rPr>
          <w:lang w:val="fr-FR"/>
        </w:rPr>
        <w:t>.  En matière de rapport de travail de droit privé, les limites à la saisie des salaires sont prévues à l</w:t>
      </w:r>
      <w:r w:rsidR="00F334C1">
        <w:rPr>
          <w:lang w:val="fr-FR"/>
        </w:rPr>
        <w:t>’</w:t>
      </w:r>
      <w:r w:rsidRPr="008E72F9">
        <w:rPr>
          <w:lang w:val="fr-FR"/>
        </w:rPr>
        <w:t>article 545, quatrième alinéa, du code de procédure civile, aux termes duquel les sommes dues à titre de salaire ou autre indemnité relative au rapport de travail peuvent être saisies pour créances (autre que les créances vitales) envers le travailleur dans la limite d</w:t>
      </w:r>
      <w:r w:rsidR="00F334C1">
        <w:rPr>
          <w:lang w:val="fr-FR"/>
        </w:rPr>
        <w:t>’</w:t>
      </w:r>
      <w:r w:rsidRPr="008E72F9">
        <w:rPr>
          <w:lang w:val="fr-FR"/>
        </w:rPr>
        <w:t>un cinquième de leur montant.</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29</w:t>
      </w:r>
      <w:r w:rsidRPr="008E72F9">
        <w:rPr>
          <w:lang w:val="fr-FR"/>
        </w:rPr>
        <w:fldChar w:fldCharType="end"/>
      </w:r>
      <w:r w:rsidRPr="008E72F9">
        <w:rPr>
          <w:lang w:val="fr-FR"/>
        </w:rPr>
        <w:t>.  Dans ce cadre normatif, la jurisprudence établie de la Cour de cassation (voir, entre autres, les arrêts n</w:t>
      </w:r>
      <w:r w:rsidRPr="008E72F9">
        <w:rPr>
          <w:vertAlign w:val="superscript"/>
          <w:lang w:val="fr-FR"/>
        </w:rPr>
        <w:t>os</w:t>
      </w:r>
      <w:r w:rsidRPr="008E72F9">
        <w:rPr>
          <w:lang w:val="fr-FR"/>
        </w:rPr>
        <w:t xml:space="preserve"> 9904/03, déposé au greffe le 20 juin 2003, et 7337/04, déposé au greffe le 17 avril 2004), a jugé que la dette de l</w:t>
      </w:r>
      <w:r w:rsidR="00F334C1">
        <w:rPr>
          <w:lang w:val="fr-FR"/>
        </w:rPr>
        <w:t>’</w:t>
      </w:r>
      <w:r w:rsidRPr="008E72F9">
        <w:rPr>
          <w:lang w:val="fr-FR"/>
        </w:rPr>
        <w:t>employeur à titre de salaire et celle du travailleur à titre de dédommagement pour acte illicite commis dans le cadre de ses fonctions doivent être considérées comme ayant leur source dans le même rapport juridique. Par conséquent, il n</w:t>
      </w:r>
      <w:r w:rsidR="00F334C1">
        <w:rPr>
          <w:lang w:val="fr-FR"/>
        </w:rPr>
        <w:t>’</w:t>
      </w:r>
      <w:r w:rsidRPr="008E72F9">
        <w:rPr>
          <w:lang w:val="fr-FR"/>
        </w:rPr>
        <w:t>y a, dans ce cas, qu</w:t>
      </w:r>
      <w:r w:rsidR="00F334C1">
        <w:rPr>
          <w:lang w:val="fr-FR"/>
        </w:rPr>
        <w:t>’</w:t>
      </w:r>
      <w:r w:rsidRPr="008E72F9">
        <w:rPr>
          <w:lang w:val="fr-FR"/>
        </w:rPr>
        <w:t>une vérification comptable des actifs et passifs avec neutralisation automatique des créances respectives et les limites à la compensation établies par le code civil ne s</w:t>
      </w:r>
      <w:r w:rsidR="00F334C1">
        <w:rPr>
          <w:lang w:val="fr-FR"/>
        </w:rPr>
        <w:t>’</w:t>
      </w:r>
      <w:r w:rsidRPr="008E72F9">
        <w:rPr>
          <w:lang w:val="fr-FR"/>
        </w:rPr>
        <w:t>appliquent pas. La compensation au sens propre peut avoir lieu, et ses limites peuvent trouver application, seulement si les rapports juridiques sur lesquelles les dettes réciproques se fondent sont autonomes.</w:t>
      </w:r>
    </w:p>
    <w:p w:rsidR="008E72F9" w:rsidRPr="008E72F9" w:rsidRDefault="008E72F9" w:rsidP="008E72F9">
      <w:pPr>
        <w:ind w:firstLine="284"/>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30</w:t>
      </w:r>
      <w:r w:rsidRPr="008E72F9">
        <w:rPr>
          <w:lang w:val="fr-FR"/>
        </w:rPr>
        <w:fldChar w:fldCharType="end"/>
      </w:r>
      <w:r w:rsidRPr="002F0DEB">
        <w:rPr>
          <w:rStyle w:val="JuParaChar"/>
          <w:lang w:val="fr-FR"/>
        </w:rPr>
        <w:t>.  </w:t>
      </w:r>
      <w:r w:rsidRPr="00F334C1">
        <w:rPr>
          <w:rStyle w:val="JuParaChar"/>
          <w:lang w:val="fr-FR"/>
        </w:rPr>
        <w:t>Par l</w:t>
      </w:r>
      <w:r w:rsidR="00F334C1" w:rsidRPr="00F334C1">
        <w:rPr>
          <w:rStyle w:val="JuParaChar"/>
          <w:lang w:val="fr-FR"/>
        </w:rPr>
        <w:t>’</w:t>
      </w:r>
      <w:r w:rsidRPr="00F334C1">
        <w:rPr>
          <w:rStyle w:val="JuParaChar"/>
          <w:lang w:val="fr-FR"/>
        </w:rPr>
        <w:t>arrêt no 259 du 21 juin-4 juillet 2007, la Cour Constitutionnelle a jugé que cette interprétation de l</w:t>
      </w:r>
      <w:r w:rsidR="00F334C1" w:rsidRPr="00F334C1">
        <w:rPr>
          <w:rStyle w:val="JuParaChar"/>
          <w:lang w:val="fr-FR"/>
        </w:rPr>
        <w:t>’</w:t>
      </w:r>
      <w:r w:rsidRPr="00F334C1">
        <w:rPr>
          <w:rStyle w:val="JuParaChar"/>
          <w:lang w:val="fr-FR"/>
        </w:rPr>
        <w:t>article 545 du code de procédure civile n</w:t>
      </w:r>
      <w:r w:rsidR="00F334C1" w:rsidRPr="00F334C1">
        <w:rPr>
          <w:rStyle w:val="JuParaChar"/>
          <w:lang w:val="fr-FR"/>
        </w:rPr>
        <w:t>’</w:t>
      </w:r>
      <w:r w:rsidRPr="00F334C1">
        <w:rPr>
          <w:rStyle w:val="JuParaChar"/>
          <w:lang w:val="fr-FR"/>
        </w:rPr>
        <w:t>était pas incompatible avec les articles 3 (principe d</w:t>
      </w:r>
      <w:r w:rsidR="00F334C1" w:rsidRPr="00F334C1">
        <w:rPr>
          <w:rStyle w:val="JuParaChar"/>
          <w:lang w:val="fr-FR"/>
        </w:rPr>
        <w:t>’</w:t>
      </w:r>
      <w:r w:rsidRPr="00F334C1">
        <w:rPr>
          <w:rStyle w:val="JuParaChar"/>
          <w:lang w:val="fr-FR"/>
        </w:rPr>
        <w:t>égalité) et 36 (droit à une rémunération proportionnée et adéquate) de la Constitution.</w:t>
      </w:r>
    </w:p>
    <w:p w:rsidR="008E72F9" w:rsidRPr="008E72F9" w:rsidRDefault="008E72F9" w:rsidP="00D2306B">
      <w:pPr>
        <w:pStyle w:val="ECHRHeading3"/>
        <w:rPr>
          <w:lang w:val="fr-FR"/>
        </w:rPr>
      </w:pPr>
      <w:r w:rsidRPr="008E72F9">
        <w:rPr>
          <w:lang w:val="fr-FR"/>
        </w:rPr>
        <w:t>2.  La saisie des salaires et des pensions des fonctionnaires publics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31</w:t>
      </w:r>
      <w:r w:rsidRPr="008E72F9">
        <w:rPr>
          <w:lang w:val="fr-FR"/>
        </w:rPr>
        <w:fldChar w:fldCharType="end"/>
      </w:r>
      <w:r w:rsidRPr="008E72F9">
        <w:rPr>
          <w:lang w:val="fr-FR"/>
        </w:rPr>
        <w:t>.  Le décret du Président de la République n</w:t>
      </w:r>
      <w:r w:rsidRPr="008E72F9">
        <w:rPr>
          <w:vertAlign w:val="superscript"/>
          <w:lang w:val="fr-FR"/>
        </w:rPr>
        <w:t xml:space="preserve">o </w:t>
      </w:r>
      <w:r w:rsidRPr="008E72F9">
        <w:rPr>
          <w:lang w:val="fr-FR"/>
        </w:rPr>
        <w:t>180/1950, établit en général l</w:t>
      </w:r>
      <w:r w:rsidR="00F334C1">
        <w:rPr>
          <w:lang w:val="fr-FR"/>
        </w:rPr>
        <w:t>’</w:t>
      </w:r>
      <w:r w:rsidRPr="008E72F9">
        <w:rPr>
          <w:lang w:val="fr-FR"/>
        </w:rPr>
        <w:t>insaisissabilité des salaires, des pensions et d</w:t>
      </w:r>
      <w:r w:rsidR="00F334C1">
        <w:rPr>
          <w:lang w:val="fr-FR"/>
        </w:rPr>
        <w:t>’</w:t>
      </w:r>
      <w:r w:rsidRPr="008E72F9">
        <w:rPr>
          <w:lang w:val="fr-FR"/>
        </w:rPr>
        <w:t>autres sommes assimilées des fonctionnaires publiques (article 1) sauf dans certains cas et dans certaines limites. Notamment, ces créances peuvent faire l</w:t>
      </w:r>
      <w:r w:rsidR="00F334C1">
        <w:rPr>
          <w:lang w:val="fr-FR"/>
        </w:rPr>
        <w:t>’</w:t>
      </w:r>
      <w:r w:rsidRPr="008E72F9">
        <w:rPr>
          <w:lang w:val="fr-FR"/>
        </w:rPr>
        <w:t>objet de saisie jusqu</w:t>
      </w:r>
      <w:r w:rsidR="00F334C1">
        <w:rPr>
          <w:lang w:val="fr-FR"/>
        </w:rPr>
        <w:t>’</w:t>
      </w:r>
      <w:r w:rsidRPr="008E72F9">
        <w:rPr>
          <w:lang w:val="fr-FR"/>
        </w:rPr>
        <w:t>à concurrence d</w:t>
      </w:r>
      <w:r w:rsidR="00F334C1">
        <w:rPr>
          <w:lang w:val="fr-FR"/>
        </w:rPr>
        <w:t>’</w:t>
      </w:r>
      <w:r w:rsidRPr="008E72F9">
        <w:rPr>
          <w:lang w:val="fr-FR"/>
        </w:rPr>
        <w:t>un cinquième de leur montant pour « dettes envers l</w:t>
      </w:r>
      <w:r w:rsidR="00F334C1">
        <w:rPr>
          <w:lang w:val="fr-FR"/>
        </w:rPr>
        <w:t>’</w:t>
      </w:r>
      <w:r w:rsidRPr="008E72F9">
        <w:rPr>
          <w:lang w:val="fr-FR"/>
        </w:rPr>
        <w:t>administration, en qualité d</w:t>
      </w:r>
      <w:r w:rsidR="00F334C1">
        <w:rPr>
          <w:lang w:val="fr-FR"/>
        </w:rPr>
        <w:t>’</w:t>
      </w:r>
      <w:r w:rsidRPr="008E72F9">
        <w:rPr>
          <w:lang w:val="fr-FR"/>
        </w:rPr>
        <w:t>employeur, ayant leur source dans le rapport de travail » (article 2, alinéa 1, n</w:t>
      </w:r>
      <w:r w:rsidRPr="008E72F9">
        <w:rPr>
          <w:vertAlign w:val="superscript"/>
          <w:lang w:val="fr-FR"/>
        </w:rPr>
        <w:t>o</w:t>
      </w:r>
      <w:r w:rsidRPr="008E72F9">
        <w:rPr>
          <w:lang w:val="fr-FR"/>
        </w:rPr>
        <w:t xml:space="preserve"> 2 dudit décret).</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32</w:t>
      </w:r>
      <w:r w:rsidRPr="008E72F9">
        <w:rPr>
          <w:lang w:val="fr-FR"/>
        </w:rPr>
        <w:fldChar w:fldCharType="end"/>
      </w:r>
      <w:r w:rsidRPr="008E72F9">
        <w:rPr>
          <w:lang w:val="fr-FR"/>
        </w:rPr>
        <w:t>.  Dans le cas particulier de créance de l</w:t>
      </w:r>
      <w:r w:rsidR="00F334C1">
        <w:rPr>
          <w:lang w:val="fr-FR"/>
        </w:rPr>
        <w:t>’</w:t>
      </w:r>
      <w:r w:rsidRPr="008E72F9">
        <w:rPr>
          <w:lang w:val="fr-FR"/>
        </w:rPr>
        <w:t>État envers le fonctionnaire ou l</w:t>
      </w:r>
      <w:r w:rsidR="00F334C1">
        <w:rPr>
          <w:lang w:val="fr-FR"/>
        </w:rPr>
        <w:t>’</w:t>
      </w:r>
      <w:r w:rsidRPr="008E72F9">
        <w:rPr>
          <w:lang w:val="fr-FR"/>
        </w:rPr>
        <w:t>ancien fonctionnaire au titre de dédommagement du préjudice que celui-ci a causé au Trésor Public, le libellé des articles 4 de la loi n</w:t>
      </w:r>
      <w:r w:rsidRPr="008E72F9">
        <w:rPr>
          <w:vertAlign w:val="superscript"/>
          <w:lang w:val="fr-FR"/>
        </w:rPr>
        <w:t>o</w:t>
      </w:r>
      <w:r w:rsidRPr="008E72F9">
        <w:rPr>
          <w:lang w:val="fr-FR"/>
        </w:rPr>
        <w:t xml:space="preserve"> 424 du 8 juin 1966 et 21 du décret du Président de la République n</w:t>
      </w:r>
      <w:r w:rsidRPr="008E72F9">
        <w:rPr>
          <w:vertAlign w:val="superscript"/>
          <w:lang w:val="fr-FR"/>
        </w:rPr>
        <w:t>o</w:t>
      </w:r>
      <w:r w:rsidRPr="008E72F9">
        <w:rPr>
          <w:lang w:val="fr-FR"/>
        </w:rPr>
        <w:t xml:space="preserve"> 1032 du </w:t>
      </w:r>
      <w:r w:rsidR="00723D67">
        <w:rPr>
          <w:lang w:val="fr-FR"/>
        </w:rPr>
        <w:br/>
      </w:r>
      <w:r w:rsidRPr="008E72F9">
        <w:rPr>
          <w:lang w:val="fr-FR"/>
        </w:rPr>
        <w:t>29 décembre 1973 prévoyait la possibilité de saisir ou retenir les sommes dues à titre de pensions et de toute autre indemnité ou somme à liquider en conséquence de la cessation du rapport de travail. Seule la pension au sens propre ne pouvait être saisie et retenue qu</w:t>
      </w:r>
      <w:r w:rsidR="00F334C1">
        <w:rPr>
          <w:lang w:val="fr-FR"/>
        </w:rPr>
        <w:t>’</w:t>
      </w:r>
      <w:r w:rsidRPr="008E72F9">
        <w:rPr>
          <w:lang w:val="fr-FR"/>
        </w:rPr>
        <w:t>à concurrence du cinquième de son montant. Néanmoins, la Cour Constitutionnelle a étendu cette disposition aux indemnités de départ des fonctionnaires de l</w:t>
      </w:r>
      <w:r w:rsidR="00F334C1">
        <w:rPr>
          <w:lang w:val="fr-FR"/>
        </w:rPr>
        <w:t>’</w:t>
      </w:r>
      <w:r w:rsidRPr="008E72F9">
        <w:rPr>
          <w:lang w:val="fr-FR"/>
        </w:rPr>
        <w:t xml:space="preserve">État (arrêt </w:t>
      </w:r>
      <w:r w:rsidR="00723D67">
        <w:rPr>
          <w:lang w:val="fr-FR"/>
        </w:rPr>
        <w:br/>
      </w:r>
      <w:r w:rsidRPr="008E72F9">
        <w:rPr>
          <w:lang w:val="fr-FR"/>
        </w:rPr>
        <w:t>n</w:t>
      </w:r>
      <w:r w:rsidRPr="008E72F9">
        <w:rPr>
          <w:vertAlign w:val="superscript"/>
          <w:lang w:val="fr-FR"/>
        </w:rPr>
        <w:t>o</w:t>
      </w:r>
      <w:r w:rsidRPr="008E72F9">
        <w:rPr>
          <w:lang w:val="fr-FR"/>
        </w:rPr>
        <w:t xml:space="preserve"> 225 du 19 juin - 4 juillet 1997) et d</w:t>
      </w:r>
      <w:r w:rsidR="00F334C1">
        <w:rPr>
          <w:lang w:val="fr-FR"/>
        </w:rPr>
        <w:t>’</w:t>
      </w:r>
      <w:r w:rsidRPr="008E72F9">
        <w:rPr>
          <w:lang w:val="fr-FR"/>
        </w:rPr>
        <w:t>autres fonctionnaires publiques (arrêt n</w:t>
      </w:r>
      <w:r w:rsidRPr="008E72F9">
        <w:rPr>
          <w:vertAlign w:val="superscript"/>
          <w:lang w:val="fr-FR"/>
        </w:rPr>
        <w:t>o</w:t>
      </w:r>
      <w:r w:rsidRPr="008E72F9">
        <w:rPr>
          <w:lang w:val="fr-FR"/>
        </w:rPr>
        <w:t xml:space="preserve"> 438 du 30 novembre - 9 décembre 2005). En particulier, la Cour Constitutionnelle a jugé que :</w:t>
      </w:r>
    </w:p>
    <w:p w:rsidR="008E72F9" w:rsidRPr="008E72F9" w:rsidRDefault="008E72F9" w:rsidP="00EA6476">
      <w:pPr>
        <w:pStyle w:val="JuQuotSub"/>
        <w:rPr>
          <w:lang w:val="fr-FR"/>
        </w:rPr>
      </w:pPr>
      <w:r w:rsidRPr="008E72F9">
        <w:rPr>
          <w:lang w:val="fr-FR"/>
        </w:rPr>
        <w:t>« on ne peut pas affirmer que l</w:t>
      </w:r>
      <w:r w:rsidR="00F334C1">
        <w:rPr>
          <w:lang w:val="fr-FR"/>
        </w:rPr>
        <w:t>’</w:t>
      </w:r>
      <w:r w:rsidRPr="008E72F9">
        <w:rPr>
          <w:lang w:val="fr-FR"/>
        </w:rPr>
        <w:t>absence de limites à la saisie [de l</w:t>
      </w:r>
      <w:r w:rsidR="00F334C1">
        <w:rPr>
          <w:lang w:val="fr-FR"/>
        </w:rPr>
        <w:t>’</w:t>
      </w:r>
      <w:r w:rsidRPr="008E72F9">
        <w:rPr>
          <w:lang w:val="fr-FR"/>
        </w:rPr>
        <w:t>indemnité de départ] puisse être justifiée par l</w:t>
      </w:r>
      <w:r w:rsidR="00F334C1">
        <w:rPr>
          <w:lang w:val="fr-FR"/>
        </w:rPr>
        <w:t>’</w:t>
      </w:r>
      <w:r w:rsidRPr="008E72F9">
        <w:rPr>
          <w:lang w:val="fr-FR"/>
        </w:rPr>
        <w:t>exigence de protection renforcée dont jouit le Trésor Public, dans les cas de dédommagement pour préjudice causé par des fonctionnaires déloyaux ou incapables, puisque (</w:t>
      </w:r>
      <w:r w:rsidR="00F334C1">
        <w:rPr>
          <w:lang w:val="fr-FR"/>
        </w:rPr>
        <w:t>...</w:t>
      </w:r>
      <w:r w:rsidRPr="008E72F9">
        <w:rPr>
          <w:lang w:val="fr-FR"/>
        </w:rPr>
        <w:t>) ce privilège ne peut pas primer sur le droit du fonctionnaire publique ou du travailleur privé, à percevoir l</w:t>
      </w:r>
      <w:r w:rsidR="00F334C1">
        <w:rPr>
          <w:lang w:val="fr-FR"/>
        </w:rPr>
        <w:t>’</w:t>
      </w:r>
      <w:r w:rsidRPr="008E72F9">
        <w:rPr>
          <w:lang w:val="fr-FR"/>
        </w:rPr>
        <w:t>indemnité de départ ».</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33</w:t>
      </w:r>
      <w:r w:rsidRPr="008E72F9">
        <w:rPr>
          <w:lang w:val="fr-FR"/>
        </w:rPr>
        <w:fldChar w:fldCharType="end"/>
      </w:r>
      <w:r w:rsidRPr="008E72F9">
        <w:rPr>
          <w:lang w:val="fr-FR"/>
        </w:rPr>
        <w:t>.  La Cour des comptes, juridiction compétente en matière de pensions des fonctionnaires publiques, se prononçant sur la possibilité de compenser intégralement des arriérés de pension avec une créance au titre de la responsabilité civile de l</w:t>
      </w:r>
      <w:r w:rsidR="00F334C1">
        <w:rPr>
          <w:lang w:val="fr-FR"/>
        </w:rPr>
        <w:t>’</w:t>
      </w:r>
      <w:r w:rsidRPr="008E72F9">
        <w:rPr>
          <w:lang w:val="fr-FR"/>
        </w:rPr>
        <w:t>ancien fonctionnaire, a jugé dans une affaire que :</w:t>
      </w:r>
    </w:p>
    <w:p w:rsidR="008E72F9" w:rsidRPr="008E72F9" w:rsidRDefault="008E72F9" w:rsidP="00EA6476">
      <w:pPr>
        <w:pStyle w:val="JuQuotSub"/>
        <w:rPr>
          <w:lang w:val="fr-FR"/>
        </w:rPr>
      </w:pPr>
      <w:r w:rsidRPr="008E72F9">
        <w:rPr>
          <w:lang w:val="fr-FR"/>
        </w:rPr>
        <w:t>« [l]e fait qu</w:t>
      </w:r>
      <w:r w:rsidR="00F334C1">
        <w:rPr>
          <w:lang w:val="fr-FR"/>
        </w:rPr>
        <w:t>’</w:t>
      </w:r>
      <w:r w:rsidRPr="008E72F9">
        <w:rPr>
          <w:lang w:val="fr-FR"/>
        </w:rPr>
        <w:t>il s</w:t>
      </w:r>
      <w:r w:rsidR="00F334C1">
        <w:rPr>
          <w:lang w:val="fr-FR"/>
        </w:rPr>
        <w:t>’</w:t>
      </w:r>
      <w:r w:rsidRPr="008E72F9">
        <w:rPr>
          <w:lang w:val="fr-FR"/>
        </w:rPr>
        <w:t>agit en l</w:t>
      </w:r>
      <w:r w:rsidR="00F334C1">
        <w:rPr>
          <w:lang w:val="fr-FR"/>
        </w:rPr>
        <w:t>’</w:t>
      </w:r>
      <w:r w:rsidRPr="008E72F9">
        <w:rPr>
          <w:lang w:val="fr-FR"/>
        </w:rPr>
        <w:t>espèce d</w:t>
      </w:r>
      <w:r w:rsidR="00F334C1">
        <w:rPr>
          <w:lang w:val="fr-FR"/>
        </w:rPr>
        <w:t>’</w:t>
      </w:r>
      <w:r w:rsidRPr="008E72F9">
        <w:rPr>
          <w:lang w:val="fr-FR"/>
        </w:rPr>
        <w:t>arriérés payés en une seule tranche n</w:t>
      </w:r>
      <w:r w:rsidR="00F334C1">
        <w:rPr>
          <w:lang w:val="fr-FR"/>
        </w:rPr>
        <w:t>’</w:t>
      </w:r>
      <w:r w:rsidRPr="008E72F9">
        <w:rPr>
          <w:lang w:val="fr-FR"/>
        </w:rPr>
        <w:t>autorise pas une compensation excédant le cinquième des sommes dues. En fait, il est clair que la circonstance que les émoluments à titre de salaire ou de pension soient payés en retard par l</w:t>
      </w:r>
      <w:r w:rsidR="00F334C1">
        <w:rPr>
          <w:lang w:val="fr-FR"/>
        </w:rPr>
        <w:t>’</w:t>
      </w:r>
      <w:r w:rsidRPr="008E72F9">
        <w:rPr>
          <w:lang w:val="fr-FR"/>
        </w:rPr>
        <w:t>Administration n</w:t>
      </w:r>
      <w:r w:rsidR="00F334C1">
        <w:rPr>
          <w:lang w:val="fr-FR"/>
        </w:rPr>
        <w:t>’</w:t>
      </w:r>
      <w:r w:rsidRPr="008E72F9">
        <w:rPr>
          <w:lang w:val="fr-FR"/>
        </w:rPr>
        <w:t>engendre pas la mutation de leur nature – à laquelle est liée l</w:t>
      </w:r>
      <w:r w:rsidR="00F334C1">
        <w:rPr>
          <w:lang w:val="fr-FR"/>
        </w:rPr>
        <w:t>’</w:t>
      </w:r>
      <w:r w:rsidRPr="008E72F9">
        <w:rPr>
          <w:lang w:val="fr-FR"/>
        </w:rPr>
        <w:t>insaisissabilité légale – et, par conséquent, ne justifie aucune dérogation à la règle [prévoyant leur insaisissabilité relative] ».</w:t>
      </w:r>
    </w:p>
    <w:p w:rsidR="008E72F9" w:rsidRPr="008E72F9" w:rsidRDefault="008E72F9" w:rsidP="00D2306B">
      <w:pPr>
        <w:pStyle w:val="ECHRTitle1"/>
        <w:rPr>
          <w:lang w:val="fr-FR"/>
        </w:rPr>
      </w:pPr>
      <w:r w:rsidRPr="008E72F9">
        <w:rPr>
          <w:lang w:val="fr-FR"/>
        </w:rPr>
        <w:t>EN DROIT</w:t>
      </w:r>
    </w:p>
    <w:p w:rsidR="008E72F9" w:rsidRPr="008E72F9" w:rsidRDefault="008E72F9" w:rsidP="00D2306B">
      <w:pPr>
        <w:pStyle w:val="ECHRHeading1"/>
        <w:rPr>
          <w:lang w:val="fr-FR"/>
        </w:rPr>
      </w:pPr>
      <w:r w:rsidRPr="008E72F9">
        <w:rPr>
          <w:lang w:val="fr-FR"/>
        </w:rPr>
        <w:t>I.  SUR LA VIOLATION ALLÉGUÉE DE L</w:t>
      </w:r>
      <w:r w:rsidR="00F334C1">
        <w:rPr>
          <w:lang w:val="fr-FR"/>
        </w:rPr>
        <w:t>’</w:t>
      </w:r>
      <w:r w:rsidRPr="008E72F9">
        <w:rPr>
          <w:lang w:val="fr-FR"/>
        </w:rPr>
        <w:t>ARTICLE 6 § 1 DE LA CONVENTION (DROIT À UN TRIBUNAL)</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34</w:t>
      </w:r>
      <w:r w:rsidRPr="008E72F9">
        <w:rPr>
          <w:lang w:val="fr-FR"/>
        </w:rPr>
        <w:fldChar w:fldCharType="end"/>
      </w:r>
      <w:r w:rsidRPr="008E72F9">
        <w:rPr>
          <w:lang w:val="fr-FR"/>
        </w:rPr>
        <w:t>.  Le requérant se plaint du rejet de son pourvoi par un motif excessivement formaliste, en l</w:t>
      </w:r>
      <w:r w:rsidR="00F334C1">
        <w:rPr>
          <w:lang w:val="fr-FR"/>
        </w:rPr>
        <w:t>’</w:t>
      </w:r>
      <w:r w:rsidRPr="008E72F9">
        <w:rPr>
          <w:lang w:val="fr-FR"/>
        </w:rPr>
        <w:t>occurrence le fait de ne pas avoir attaqué en cassation l</w:t>
      </w:r>
      <w:r w:rsidR="00F334C1">
        <w:rPr>
          <w:lang w:val="fr-FR"/>
        </w:rPr>
        <w:t>’</w:t>
      </w:r>
      <w:r w:rsidRPr="008E72F9">
        <w:rPr>
          <w:lang w:val="fr-FR"/>
        </w:rPr>
        <w:t>omission par la cour d</w:t>
      </w:r>
      <w:r w:rsidR="00F334C1">
        <w:rPr>
          <w:lang w:val="fr-FR"/>
        </w:rPr>
        <w:t>’</w:t>
      </w:r>
      <w:r w:rsidRPr="008E72F9">
        <w:rPr>
          <w:lang w:val="fr-FR"/>
        </w:rPr>
        <w:t>appel de la question du dommage moral. Il allègue une violation de l</w:t>
      </w:r>
      <w:r w:rsidR="00F334C1">
        <w:rPr>
          <w:lang w:val="fr-FR"/>
        </w:rPr>
        <w:t>’</w:t>
      </w:r>
      <w:r w:rsidRPr="008E72F9">
        <w:rPr>
          <w:lang w:val="fr-FR"/>
        </w:rPr>
        <w:t>article 6 § 1 de la Convention, ainsi libellé :</w:t>
      </w:r>
    </w:p>
    <w:p w:rsidR="008E72F9" w:rsidRPr="008E72F9" w:rsidRDefault="008E72F9" w:rsidP="00EA6476">
      <w:pPr>
        <w:pStyle w:val="JuQuotSub"/>
        <w:rPr>
          <w:lang w:val="fr-FR"/>
        </w:rPr>
      </w:pPr>
      <w:r w:rsidRPr="008E72F9">
        <w:rPr>
          <w:lang w:val="fr-FR"/>
        </w:rPr>
        <w:t>« Toute personne a droit à ce que sa cause soit entendue équitablement (...) par un tribunal (...), qui décidera (...) des contestations sur ses droits et obligations de caractère civil (...) »</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35</w:t>
      </w:r>
      <w:r w:rsidRPr="008E72F9">
        <w:rPr>
          <w:lang w:val="fr-FR"/>
        </w:rPr>
        <w:fldChar w:fldCharType="end"/>
      </w:r>
      <w:r w:rsidRPr="008E72F9">
        <w:rPr>
          <w:lang w:val="fr-FR"/>
        </w:rPr>
        <w:t>.  Le Gouvernement s</w:t>
      </w:r>
      <w:r w:rsidR="00F334C1">
        <w:rPr>
          <w:lang w:val="fr-FR"/>
        </w:rPr>
        <w:t>’</w:t>
      </w:r>
      <w:r w:rsidRPr="008E72F9">
        <w:rPr>
          <w:lang w:val="fr-FR"/>
        </w:rPr>
        <w:t>oppose à cette thèse.</w:t>
      </w:r>
    </w:p>
    <w:p w:rsidR="008E72F9" w:rsidRPr="008E72F9" w:rsidRDefault="008E72F9" w:rsidP="00D2306B">
      <w:pPr>
        <w:pStyle w:val="ECHRHeading2"/>
        <w:rPr>
          <w:lang w:val="fr-FR"/>
        </w:rPr>
      </w:pPr>
      <w:r w:rsidRPr="008E72F9">
        <w:rPr>
          <w:lang w:val="fr-FR"/>
        </w:rPr>
        <w:t>A.  Sur la recevabilité</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36</w:t>
      </w:r>
      <w:r w:rsidRPr="008E72F9">
        <w:rPr>
          <w:lang w:val="fr-FR"/>
        </w:rPr>
        <w:fldChar w:fldCharType="end"/>
      </w:r>
      <w:r w:rsidRPr="008E72F9">
        <w:rPr>
          <w:lang w:val="fr-FR"/>
        </w:rPr>
        <w:t>.  La Cour constate que ce grief n</w:t>
      </w:r>
      <w:r w:rsidR="00F334C1">
        <w:rPr>
          <w:lang w:val="fr-FR"/>
        </w:rPr>
        <w:t>’</w:t>
      </w:r>
      <w:r w:rsidRPr="008E72F9">
        <w:rPr>
          <w:lang w:val="fr-FR"/>
        </w:rPr>
        <w:t>est pas manifestement mal fondé au sens de l</w:t>
      </w:r>
      <w:r w:rsidR="00F334C1">
        <w:rPr>
          <w:lang w:val="fr-FR"/>
        </w:rPr>
        <w:t>’</w:t>
      </w:r>
      <w:r w:rsidRPr="008E72F9">
        <w:rPr>
          <w:lang w:val="fr-FR"/>
        </w:rPr>
        <w:t>article 35 § 3 a) de la Convention et qu</w:t>
      </w:r>
      <w:r w:rsidR="00F334C1">
        <w:rPr>
          <w:lang w:val="fr-FR"/>
        </w:rPr>
        <w:t>’</w:t>
      </w:r>
      <w:r w:rsidRPr="008E72F9">
        <w:rPr>
          <w:lang w:val="fr-FR"/>
        </w:rPr>
        <w:t>il ne se heurte par ailleurs à aucun autre motif d</w:t>
      </w:r>
      <w:r w:rsidR="00F334C1">
        <w:rPr>
          <w:lang w:val="fr-FR"/>
        </w:rPr>
        <w:t>’</w:t>
      </w:r>
      <w:r w:rsidRPr="008E72F9">
        <w:rPr>
          <w:lang w:val="fr-FR"/>
        </w:rPr>
        <w:t>irrecevabilité, la Cour le déclare recevable.</w:t>
      </w:r>
    </w:p>
    <w:p w:rsidR="008E72F9" w:rsidRPr="008E72F9" w:rsidRDefault="008E72F9" w:rsidP="00D2306B">
      <w:pPr>
        <w:pStyle w:val="ECHRHeading2"/>
        <w:rPr>
          <w:lang w:val="fr-FR"/>
        </w:rPr>
      </w:pPr>
      <w:r w:rsidRPr="008E72F9">
        <w:rPr>
          <w:lang w:val="fr-FR"/>
        </w:rPr>
        <w:t>B.  Sur le fond</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37</w:t>
      </w:r>
      <w:r w:rsidRPr="008E72F9">
        <w:rPr>
          <w:lang w:val="fr-FR"/>
        </w:rPr>
        <w:fldChar w:fldCharType="end"/>
      </w:r>
      <w:r w:rsidRPr="008E72F9">
        <w:rPr>
          <w:lang w:val="fr-FR"/>
        </w:rPr>
        <w:t>.  Le requérant estime avoir soumis à la Cour de cassation un pourvoi en tout point complet contre la décision de la cour d</w:t>
      </w:r>
      <w:r w:rsidR="00F334C1">
        <w:rPr>
          <w:lang w:val="fr-FR"/>
        </w:rPr>
        <w:t>’</w:t>
      </w:r>
      <w:r w:rsidRPr="008E72F9">
        <w:rPr>
          <w:lang w:val="fr-FR"/>
        </w:rPr>
        <w:t>appel de Rome niant le dépassement du délai raisonnable, de sorte qu</w:t>
      </w:r>
      <w:r w:rsidR="00F334C1">
        <w:rPr>
          <w:lang w:val="fr-FR"/>
        </w:rPr>
        <w:t>’</w:t>
      </w:r>
      <w:r w:rsidRPr="008E72F9">
        <w:rPr>
          <w:lang w:val="fr-FR"/>
        </w:rPr>
        <w:t>il appartenait à la Haute juridiction d</w:t>
      </w:r>
      <w:r w:rsidR="00F334C1">
        <w:rPr>
          <w:lang w:val="fr-FR"/>
        </w:rPr>
        <w:t>’</w:t>
      </w:r>
      <w:r w:rsidRPr="008E72F9">
        <w:rPr>
          <w:lang w:val="fr-FR"/>
        </w:rPr>
        <w:t>examiner celui-ci sur le fond. En rejetant son pourvoi en raison d</w:t>
      </w:r>
      <w:r w:rsidR="00F334C1">
        <w:rPr>
          <w:lang w:val="fr-FR"/>
        </w:rPr>
        <w:t>’</w:t>
      </w:r>
      <w:r w:rsidRPr="008E72F9">
        <w:rPr>
          <w:lang w:val="fr-FR"/>
        </w:rPr>
        <w:t>un simple vice de forme, la Cour de cassation aurait fait preuve d</w:t>
      </w:r>
      <w:r w:rsidR="00F334C1">
        <w:rPr>
          <w:lang w:val="fr-FR"/>
        </w:rPr>
        <w:t>’</w:t>
      </w:r>
      <w:r w:rsidRPr="008E72F9">
        <w:rPr>
          <w:lang w:val="fr-FR"/>
        </w:rPr>
        <w:t>une «rigueur formaliste excessive ». Le requérant souligne que la cour d</w:t>
      </w:r>
      <w:r w:rsidR="00F334C1">
        <w:rPr>
          <w:lang w:val="fr-FR"/>
        </w:rPr>
        <w:t>’</w:t>
      </w:r>
      <w:r w:rsidRPr="008E72F9">
        <w:rPr>
          <w:lang w:val="fr-FR"/>
        </w:rPr>
        <w:t>appel de Rome s</w:t>
      </w:r>
      <w:r w:rsidR="00F334C1">
        <w:rPr>
          <w:lang w:val="fr-FR"/>
        </w:rPr>
        <w:t>’</w:t>
      </w:r>
      <w:r w:rsidRPr="008E72F9">
        <w:rPr>
          <w:lang w:val="fr-FR"/>
        </w:rPr>
        <w:t>était limitée à exclure la violation du délai raisonnable, sans se prononcer sur le dommage moral. Il soutient que la décision attaquée se fondait en conséquence sur un seul argument, celui ayant fait l</w:t>
      </w:r>
      <w:r w:rsidR="00F334C1">
        <w:rPr>
          <w:lang w:val="fr-FR"/>
        </w:rPr>
        <w:t>’</w:t>
      </w:r>
      <w:r w:rsidRPr="008E72F9">
        <w:rPr>
          <w:lang w:val="fr-FR"/>
        </w:rPr>
        <w:t>objet de son moyen en cassation. En outre, dans ce moyen le requérant faisait valoir la violation de son droit à la satisfaction équitable en raison du dommage moral souffert.</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38</w:t>
      </w:r>
      <w:r w:rsidRPr="008E72F9">
        <w:rPr>
          <w:lang w:val="fr-FR"/>
        </w:rPr>
        <w:fldChar w:fldCharType="end"/>
      </w:r>
      <w:r w:rsidRPr="008E72F9">
        <w:rPr>
          <w:lang w:val="fr-FR"/>
        </w:rPr>
        <w:t>.  Le Gouvernement expose qu</w:t>
      </w:r>
      <w:r w:rsidR="00F334C1">
        <w:rPr>
          <w:lang w:val="fr-FR"/>
        </w:rPr>
        <w:t>’</w:t>
      </w:r>
      <w:r w:rsidRPr="008E72F9">
        <w:rPr>
          <w:lang w:val="fr-FR"/>
        </w:rPr>
        <w:t>en l</w:t>
      </w:r>
      <w:r w:rsidR="00F334C1">
        <w:rPr>
          <w:lang w:val="fr-FR"/>
        </w:rPr>
        <w:t>’</w:t>
      </w:r>
      <w:r w:rsidRPr="008E72F9">
        <w:rPr>
          <w:lang w:val="fr-FR"/>
        </w:rPr>
        <w:t>espèce, la Cour de cassation a appliqué sa jurisprudence constante selon laquelle le seul examen des motifs relatifs à l</w:t>
      </w:r>
      <w:r w:rsidR="00F334C1">
        <w:rPr>
          <w:lang w:val="fr-FR"/>
        </w:rPr>
        <w:t>’</w:t>
      </w:r>
      <w:r w:rsidRPr="008E72F9">
        <w:rPr>
          <w:lang w:val="fr-FR"/>
        </w:rPr>
        <w:t>évaluation du délai raisonnable n</w:t>
      </w:r>
      <w:r w:rsidR="00F334C1">
        <w:rPr>
          <w:lang w:val="fr-FR"/>
        </w:rPr>
        <w:t>’</w:t>
      </w:r>
      <w:r w:rsidRPr="008E72F9">
        <w:rPr>
          <w:lang w:val="fr-FR"/>
        </w:rPr>
        <w:t>aurait eu aucun résultat utile pour le requérant, l</w:t>
      </w:r>
      <w:r w:rsidR="00F334C1">
        <w:rPr>
          <w:lang w:val="fr-FR"/>
        </w:rPr>
        <w:t>’</w:t>
      </w:r>
      <w:r w:rsidRPr="008E72F9">
        <w:rPr>
          <w:lang w:val="fr-FR"/>
        </w:rPr>
        <w:t>exclusion de l</w:t>
      </w:r>
      <w:r w:rsidR="00F334C1">
        <w:rPr>
          <w:lang w:val="fr-FR"/>
        </w:rPr>
        <w:t>’</w:t>
      </w:r>
      <w:r w:rsidRPr="008E72F9">
        <w:rPr>
          <w:lang w:val="fr-FR"/>
        </w:rPr>
        <w:t>existence du dommage moral constituant l</w:t>
      </w:r>
      <w:r w:rsidR="00F334C1">
        <w:rPr>
          <w:lang w:val="fr-FR"/>
        </w:rPr>
        <w:t>’</w:t>
      </w:r>
      <w:r w:rsidRPr="008E72F9">
        <w:rPr>
          <w:lang w:val="fr-FR"/>
        </w:rPr>
        <w:t>autre pilier de la motivation. Aux yeux du Gouvernement, cette argumentation correspond à une logique procédurale de droit interne qui ne peut pas être remise en question. En outre, le Gouvernement se fonde sur l</w:t>
      </w:r>
      <w:r w:rsidR="00F334C1">
        <w:rPr>
          <w:lang w:val="fr-FR"/>
        </w:rPr>
        <w:t>’</w:t>
      </w:r>
      <w:r w:rsidRPr="008E72F9">
        <w:rPr>
          <w:lang w:val="fr-FR"/>
        </w:rPr>
        <w:t>article 2 du Protocole n</w:t>
      </w:r>
      <w:r w:rsidRPr="008E72F9">
        <w:rPr>
          <w:vertAlign w:val="superscript"/>
          <w:lang w:val="fr-FR"/>
        </w:rPr>
        <w:t>o</w:t>
      </w:r>
      <w:r w:rsidRPr="008E72F9">
        <w:rPr>
          <w:lang w:val="fr-FR"/>
        </w:rPr>
        <w:t xml:space="preserve"> 7 pour souligner que le droit à un double degré de juridiction existe seulement en matière pénale et qu</w:t>
      </w:r>
      <w:r w:rsidR="00F334C1">
        <w:rPr>
          <w:lang w:val="fr-FR"/>
        </w:rPr>
        <w:t>’</w:t>
      </w:r>
      <w:r w:rsidRPr="008E72F9">
        <w:rPr>
          <w:lang w:val="fr-FR"/>
        </w:rPr>
        <w:t>au contraire, en matière civile, les États peuvent imposer des limites au réexamen d</w:t>
      </w:r>
      <w:r w:rsidR="00F334C1">
        <w:rPr>
          <w:lang w:val="fr-FR"/>
        </w:rPr>
        <w:t>’</w:t>
      </w:r>
      <w:r w:rsidRPr="008E72F9">
        <w:rPr>
          <w:lang w:val="fr-FR"/>
        </w:rPr>
        <w:t>une affaire en raison de la marge d</w:t>
      </w:r>
      <w:r w:rsidR="00F334C1">
        <w:rPr>
          <w:lang w:val="fr-FR"/>
        </w:rPr>
        <w:t>’</w:t>
      </w:r>
      <w:r w:rsidRPr="008E72F9">
        <w:rPr>
          <w:lang w:val="fr-FR"/>
        </w:rPr>
        <w:t>appréciation dont ils bénéficient. Le Gouvernement remarque enfin que le requérant n</w:t>
      </w:r>
      <w:r w:rsidR="00F334C1">
        <w:rPr>
          <w:lang w:val="fr-FR"/>
        </w:rPr>
        <w:t>’</w:t>
      </w:r>
      <w:r w:rsidRPr="008E72F9">
        <w:rPr>
          <w:lang w:val="fr-FR"/>
        </w:rPr>
        <w:t>a apporté aucune preuve des dommages patrimoniaux subis en raison de la durée de la procédure.</w:t>
      </w:r>
    </w:p>
    <w:p w:rsidR="008E72F9" w:rsidRPr="008E72F9" w:rsidRDefault="008E72F9" w:rsidP="00D2306B">
      <w:pPr>
        <w:pStyle w:val="ECHRHeading3"/>
        <w:rPr>
          <w:lang w:val="fr-FR"/>
        </w:rPr>
      </w:pPr>
      <w:r w:rsidRPr="008E72F9">
        <w:rPr>
          <w:lang w:val="fr-FR"/>
        </w:rPr>
        <w:t>1.  Principes généraux</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39</w:t>
      </w:r>
      <w:r w:rsidRPr="008E72F9">
        <w:rPr>
          <w:lang w:val="fr-FR"/>
        </w:rPr>
        <w:fldChar w:fldCharType="end"/>
      </w:r>
      <w:r w:rsidRPr="008E72F9">
        <w:rPr>
          <w:lang w:val="fr-FR"/>
        </w:rPr>
        <w:t>.  La Cour rappelle sa jurisprudence constante selon laquelle elle n</w:t>
      </w:r>
      <w:r w:rsidR="00F334C1">
        <w:rPr>
          <w:lang w:val="fr-FR"/>
        </w:rPr>
        <w:t>’</w:t>
      </w:r>
      <w:r w:rsidRPr="008E72F9">
        <w:rPr>
          <w:lang w:val="fr-FR"/>
        </w:rPr>
        <w:t>a pas pour tâche de se substituer aux juridictions internes. C</w:t>
      </w:r>
      <w:r w:rsidR="00F334C1">
        <w:rPr>
          <w:lang w:val="fr-FR"/>
        </w:rPr>
        <w:t>’</w:t>
      </w:r>
      <w:r w:rsidRPr="008E72F9">
        <w:rPr>
          <w:lang w:val="fr-FR"/>
        </w:rPr>
        <w:t>est au premier chef aux autorités nationales, notamment aux cours et tribunaux, qu</w:t>
      </w:r>
      <w:r w:rsidR="00F334C1">
        <w:rPr>
          <w:lang w:val="fr-FR"/>
        </w:rPr>
        <w:t>’</w:t>
      </w:r>
      <w:r w:rsidRPr="008E72F9">
        <w:rPr>
          <w:lang w:val="fr-FR"/>
        </w:rPr>
        <w:t>il incombe d</w:t>
      </w:r>
      <w:r w:rsidR="00F334C1">
        <w:rPr>
          <w:lang w:val="fr-FR"/>
        </w:rPr>
        <w:t>’</w:t>
      </w:r>
      <w:r w:rsidRPr="008E72F9">
        <w:rPr>
          <w:lang w:val="fr-FR"/>
        </w:rPr>
        <w:t>interpréter la législation interne (voir, parmi beaucoup d</w:t>
      </w:r>
      <w:r w:rsidR="00F334C1">
        <w:rPr>
          <w:lang w:val="fr-FR"/>
        </w:rPr>
        <w:t>’</w:t>
      </w:r>
      <w:r w:rsidRPr="008E72F9">
        <w:rPr>
          <w:lang w:val="fr-FR"/>
        </w:rPr>
        <w:t xml:space="preserve">autres, </w:t>
      </w:r>
      <w:r w:rsidRPr="008E72F9">
        <w:rPr>
          <w:i/>
          <w:lang w:val="fr-FR"/>
        </w:rPr>
        <w:t>García Manibardo c. Espagne</w:t>
      </w:r>
      <w:r w:rsidRPr="008E72F9">
        <w:rPr>
          <w:lang w:val="fr-FR"/>
        </w:rPr>
        <w:t>, n</w:t>
      </w:r>
      <w:r w:rsidRPr="008E72F9">
        <w:rPr>
          <w:vertAlign w:val="superscript"/>
          <w:lang w:val="fr-FR"/>
        </w:rPr>
        <w:t>o</w:t>
      </w:r>
      <w:r w:rsidRPr="008E72F9">
        <w:rPr>
          <w:lang w:val="fr-FR"/>
        </w:rPr>
        <w:t xml:space="preserve"> 38695/97, § 36, CEDH 2000</w:t>
      </w:r>
      <w:r w:rsidRPr="008E72F9">
        <w:rPr>
          <w:lang w:val="fr-FR"/>
        </w:rPr>
        <w:noBreakHyphen/>
        <w:t>II). Par ailleurs, le « droit à un tribunal », dont le droit d</w:t>
      </w:r>
      <w:r w:rsidR="00F334C1">
        <w:rPr>
          <w:lang w:val="fr-FR"/>
        </w:rPr>
        <w:t>’</w:t>
      </w:r>
      <w:r w:rsidRPr="008E72F9">
        <w:rPr>
          <w:lang w:val="fr-FR"/>
        </w:rPr>
        <w:t>accès constitue un aspect particulier, n</w:t>
      </w:r>
      <w:r w:rsidR="00F334C1">
        <w:rPr>
          <w:lang w:val="fr-FR"/>
        </w:rPr>
        <w:t>’</w:t>
      </w:r>
      <w:r w:rsidRPr="008E72F9">
        <w:rPr>
          <w:lang w:val="fr-FR"/>
        </w:rPr>
        <w:t>est pas absolu et se prête à des limitations implicitement admises, notamment quant aux conditions de recevabilité d</w:t>
      </w:r>
      <w:r w:rsidR="00F334C1">
        <w:rPr>
          <w:lang w:val="fr-FR"/>
        </w:rPr>
        <w:t>’</w:t>
      </w:r>
      <w:r w:rsidRPr="008E72F9">
        <w:rPr>
          <w:lang w:val="fr-FR"/>
        </w:rPr>
        <w:t>un recours, car il appelle de par sa nature même une réglementation par l</w:t>
      </w:r>
      <w:r w:rsidR="00F334C1">
        <w:rPr>
          <w:lang w:val="fr-FR"/>
        </w:rPr>
        <w:t>’</w:t>
      </w:r>
      <w:r w:rsidRPr="008E72F9">
        <w:rPr>
          <w:lang w:val="fr-FR"/>
        </w:rPr>
        <w:t>État, lequel jouit à cet égard d</w:t>
      </w:r>
      <w:r w:rsidR="00F334C1">
        <w:rPr>
          <w:lang w:val="fr-FR"/>
        </w:rPr>
        <w:t>’</w:t>
      </w:r>
      <w:r w:rsidRPr="008E72F9">
        <w:rPr>
          <w:lang w:val="fr-FR"/>
        </w:rPr>
        <w:t>une certaine marge d</w:t>
      </w:r>
      <w:r w:rsidR="00F334C1">
        <w:rPr>
          <w:lang w:val="fr-FR"/>
        </w:rPr>
        <w:t>’</w:t>
      </w:r>
      <w:r w:rsidRPr="008E72F9">
        <w:rPr>
          <w:lang w:val="fr-FR"/>
        </w:rPr>
        <w:t>appréciation. Toutefois, ces limitations ne sauraient restreindre l</w:t>
      </w:r>
      <w:r w:rsidR="00F334C1">
        <w:rPr>
          <w:lang w:val="fr-FR"/>
        </w:rPr>
        <w:t>’</w:t>
      </w:r>
      <w:r w:rsidRPr="008E72F9">
        <w:rPr>
          <w:lang w:val="fr-FR"/>
        </w:rPr>
        <w:t>accès ouvert à un justiciable de manière ou à un point tels que son droit à un tribunal s</w:t>
      </w:r>
      <w:r w:rsidR="00F334C1">
        <w:rPr>
          <w:lang w:val="fr-FR"/>
        </w:rPr>
        <w:t>’</w:t>
      </w:r>
      <w:r w:rsidRPr="008E72F9">
        <w:rPr>
          <w:lang w:val="fr-FR"/>
        </w:rPr>
        <w:t>en trouve atteint dans sa substance même ; enfin, elles ne se concilient avec l</w:t>
      </w:r>
      <w:r w:rsidR="00F334C1">
        <w:rPr>
          <w:lang w:val="fr-FR"/>
        </w:rPr>
        <w:t>’</w:t>
      </w:r>
      <w:r w:rsidRPr="008E72F9">
        <w:rPr>
          <w:lang w:val="fr-FR"/>
        </w:rPr>
        <w:t>article 6 § 1 que si elles tendent à un but légitime et s</w:t>
      </w:r>
      <w:r w:rsidR="00F334C1">
        <w:rPr>
          <w:lang w:val="fr-FR"/>
        </w:rPr>
        <w:t>’</w:t>
      </w:r>
      <w:r w:rsidRPr="008E72F9">
        <w:rPr>
          <w:lang w:val="fr-FR"/>
        </w:rPr>
        <w:t>il existe un rapport raisonnable de proportionnalité entre les moyens employés et le but visé (voir, parmi beaucoup d</w:t>
      </w:r>
      <w:r w:rsidR="00F334C1">
        <w:rPr>
          <w:lang w:val="fr-FR"/>
        </w:rPr>
        <w:t>’</w:t>
      </w:r>
      <w:r w:rsidRPr="008E72F9">
        <w:rPr>
          <w:lang w:val="fr-FR"/>
        </w:rPr>
        <w:t xml:space="preserve">autres, </w:t>
      </w:r>
      <w:r w:rsidRPr="008E72F9">
        <w:rPr>
          <w:i/>
          <w:lang w:val="fr-FR"/>
        </w:rPr>
        <w:t>Edificaciones March Gallego S.A. c. Espagne</w:t>
      </w:r>
      <w:r w:rsidRPr="008E72F9">
        <w:rPr>
          <w:lang w:val="fr-FR"/>
        </w:rPr>
        <w:t xml:space="preserve">, 19 février 1998, § 34, </w:t>
      </w:r>
      <w:r w:rsidRPr="008E72F9">
        <w:rPr>
          <w:i/>
          <w:lang w:val="fr-FR"/>
        </w:rPr>
        <w:t>Recueil des arrêts et décisions</w:t>
      </w:r>
      <w:r w:rsidRPr="008E72F9">
        <w:rPr>
          <w:lang w:val="fr-FR"/>
        </w:rPr>
        <w:t xml:space="preserve"> 1998</w:t>
      </w:r>
      <w:r w:rsidRPr="008E72F9">
        <w:rPr>
          <w:lang w:val="fr-FR"/>
        </w:rPr>
        <w:noBreakHyphen/>
        <w:t>I). En effet, le droit d</w:t>
      </w:r>
      <w:r w:rsidR="00F334C1">
        <w:rPr>
          <w:lang w:val="fr-FR"/>
        </w:rPr>
        <w:t>’</w:t>
      </w:r>
      <w:r w:rsidRPr="008E72F9">
        <w:rPr>
          <w:lang w:val="fr-FR"/>
        </w:rPr>
        <w:t>accès à un tribunal se trouve atteint lorsque sa réglementation cesse de servir les buts de la sécurité juridique et de la bonne administration de la justice et constitue une sorte de barrière qui empêche le justiciable de voir la substance de son litige tranchée par la juridiction compétente.</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40</w:t>
      </w:r>
      <w:r w:rsidRPr="008E72F9">
        <w:rPr>
          <w:lang w:val="fr-FR"/>
        </w:rPr>
        <w:fldChar w:fldCharType="end"/>
      </w:r>
      <w:r w:rsidRPr="008E72F9">
        <w:rPr>
          <w:lang w:val="fr-FR"/>
        </w:rPr>
        <w:t>.  La Cour rappelle en deuxième lieu que l</w:t>
      </w:r>
      <w:r w:rsidR="00F334C1">
        <w:rPr>
          <w:lang w:val="fr-FR"/>
        </w:rPr>
        <w:t>’</w:t>
      </w:r>
      <w:r w:rsidRPr="008E72F9">
        <w:rPr>
          <w:lang w:val="fr-FR"/>
        </w:rPr>
        <w:t>article 6 de la Convention n</w:t>
      </w:r>
      <w:r w:rsidR="00F334C1">
        <w:rPr>
          <w:lang w:val="fr-FR"/>
        </w:rPr>
        <w:t>’</w:t>
      </w:r>
      <w:r w:rsidRPr="008E72F9">
        <w:rPr>
          <w:lang w:val="fr-FR"/>
        </w:rPr>
        <w:t>astreint pas les États contractants à créer des cours d</w:t>
      </w:r>
      <w:r w:rsidR="00F334C1">
        <w:rPr>
          <w:lang w:val="fr-FR"/>
        </w:rPr>
        <w:t>’</w:t>
      </w:r>
      <w:r w:rsidRPr="008E72F9">
        <w:rPr>
          <w:lang w:val="fr-FR"/>
        </w:rPr>
        <w:t>appel ou de cassation. Néanmoins, un État qui se dote de juridictions de cette nature a l</w:t>
      </w:r>
      <w:r w:rsidR="00F334C1">
        <w:rPr>
          <w:lang w:val="fr-FR"/>
        </w:rPr>
        <w:t>’</w:t>
      </w:r>
      <w:r w:rsidRPr="008E72F9">
        <w:rPr>
          <w:lang w:val="fr-FR"/>
        </w:rPr>
        <w:t>obligation de veiller à ce que les justiciables jouissent auprès d</w:t>
      </w:r>
      <w:r w:rsidR="00F334C1">
        <w:rPr>
          <w:lang w:val="fr-FR"/>
        </w:rPr>
        <w:t>’</w:t>
      </w:r>
      <w:r w:rsidRPr="008E72F9">
        <w:rPr>
          <w:lang w:val="fr-FR"/>
        </w:rPr>
        <w:t>elles des garanties fondamentales de l</w:t>
      </w:r>
      <w:r w:rsidR="00F334C1">
        <w:rPr>
          <w:lang w:val="fr-FR"/>
        </w:rPr>
        <w:t>’</w:t>
      </w:r>
      <w:r w:rsidRPr="008E72F9">
        <w:rPr>
          <w:lang w:val="fr-FR"/>
        </w:rPr>
        <w:t xml:space="preserve">article 6 (voir, notamment, </w:t>
      </w:r>
      <w:r w:rsidRPr="008E72F9">
        <w:rPr>
          <w:i/>
          <w:lang w:val="fr-FR"/>
        </w:rPr>
        <w:t xml:space="preserve">Delcourt </w:t>
      </w:r>
      <w:r w:rsidR="00723D67">
        <w:rPr>
          <w:i/>
          <w:lang w:val="fr-FR"/>
        </w:rPr>
        <w:br/>
      </w:r>
      <w:r w:rsidRPr="008E72F9">
        <w:rPr>
          <w:i/>
          <w:lang w:val="fr-FR"/>
        </w:rPr>
        <w:t>c. Belgique</w:t>
      </w:r>
      <w:r w:rsidRPr="008E72F9">
        <w:rPr>
          <w:lang w:val="fr-FR"/>
        </w:rPr>
        <w:t>, 17 janvier 1970, §§ 25-26, série A n</w:t>
      </w:r>
      <w:r w:rsidRPr="008E72F9">
        <w:rPr>
          <w:vertAlign w:val="superscript"/>
          <w:lang w:val="fr-FR"/>
        </w:rPr>
        <w:t>o</w:t>
      </w:r>
      <w:r w:rsidRPr="008E72F9">
        <w:rPr>
          <w:lang w:val="fr-FR"/>
        </w:rPr>
        <w:t xml:space="preserve"> 11). En outre, la compatibilité des limitations prévues par le droit interne avec le droit d</w:t>
      </w:r>
      <w:r w:rsidR="00F334C1">
        <w:rPr>
          <w:lang w:val="fr-FR"/>
        </w:rPr>
        <w:t>’</w:t>
      </w:r>
      <w:r w:rsidRPr="008E72F9">
        <w:rPr>
          <w:lang w:val="fr-FR"/>
        </w:rPr>
        <w:t>accès à un tribunal, reconnu par l</w:t>
      </w:r>
      <w:r w:rsidR="00F334C1">
        <w:rPr>
          <w:lang w:val="fr-FR"/>
        </w:rPr>
        <w:t>’</w:t>
      </w:r>
      <w:r w:rsidRPr="008E72F9">
        <w:rPr>
          <w:lang w:val="fr-FR"/>
        </w:rPr>
        <w:t>article 6 § 1 de la Convention, dépend des particularités de la procédure en cause et de l</w:t>
      </w:r>
      <w:r w:rsidR="00F334C1">
        <w:rPr>
          <w:lang w:val="fr-FR"/>
        </w:rPr>
        <w:t>’</w:t>
      </w:r>
      <w:r w:rsidRPr="008E72F9">
        <w:rPr>
          <w:lang w:val="fr-FR"/>
        </w:rPr>
        <w:t>ensemble du procès mené dans l</w:t>
      </w:r>
      <w:r w:rsidR="00F334C1">
        <w:rPr>
          <w:lang w:val="fr-FR"/>
        </w:rPr>
        <w:t>’</w:t>
      </w:r>
      <w:r w:rsidRPr="008E72F9">
        <w:rPr>
          <w:lang w:val="fr-FR"/>
        </w:rPr>
        <w:t xml:space="preserve">ordre juridique interne (voir, parmi autres, </w:t>
      </w:r>
      <w:r w:rsidRPr="008E72F9">
        <w:rPr>
          <w:i/>
          <w:lang w:val="fr-FR"/>
        </w:rPr>
        <w:t>Khalfaoui c. France</w:t>
      </w:r>
      <w:r w:rsidRPr="008E72F9">
        <w:rPr>
          <w:lang w:val="fr-FR"/>
        </w:rPr>
        <w:t xml:space="preserve">, </w:t>
      </w:r>
      <w:r w:rsidR="00723D67">
        <w:rPr>
          <w:lang w:val="fr-FR"/>
        </w:rPr>
        <w:br/>
      </w:r>
      <w:r w:rsidRPr="008E72F9">
        <w:rPr>
          <w:lang w:val="fr-FR"/>
        </w:rPr>
        <w:t>n</w:t>
      </w:r>
      <w:r w:rsidRPr="008E72F9">
        <w:rPr>
          <w:vertAlign w:val="superscript"/>
          <w:lang w:val="fr-FR"/>
        </w:rPr>
        <w:t>o</w:t>
      </w:r>
      <w:r w:rsidRPr="008E72F9">
        <w:rPr>
          <w:lang w:val="fr-FR"/>
        </w:rPr>
        <w:t xml:space="preserve"> 34791/97, CEDH 1999–IX ; </w:t>
      </w:r>
      <w:r w:rsidRPr="008E72F9">
        <w:rPr>
          <w:i/>
          <w:lang w:val="fr-FR"/>
        </w:rPr>
        <w:t>Mohr c. Luxembourg</w:t>
      </w:r>
      <w:r w:rsidRPr="008E72F9">
        <w:rPr>
          <w:lang w:val="fr-FR"/>
        </w:rPr>
        <w:t xml:space="preserve"> (déc.), n</w:t>
      </w:r>
      <w:r w:rsidRPr="008E72F9">
        <w:rPr>
          <w:vertAlign w:val="superscript"/>
          <w:lang w:val="fr-FR"/>
        </w:rPr>
        <w:t>o</w:t>
      </w:r>
      <w:r w:rsidRPr="008E72F9">
        <w:rPr>
          <w:lang w:val="fr-FR"/>
        </w:rPr>
        <w:t xml:space="preserve"> 29236/95, </w:t>
      </w:r>
      <w:r w:rsidR="00723D67">
        <w:rPr>
          <w:lang w:val="fr-FR"/>
        </w:rPr>
        <w:br/>
      </w:r>
      <w:r w:rsidRPr="008E72F9">
        <w:rPr>
          <w:lang w:val="fr-FR"/>
        </w:rPr>
        <w:t>20 avril 1999).</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41</w:t>
      </w:r>
      <w:r w:rsidRPr="008E72F9">
        <w:rPr>
          <w:lang w:val="fr-FR"/>
        </w:rPr>
        <w:fldChar w:fldCharType="end"/>
      </w:r>
      <w:r w:rsidRPr="008E72F9">
        <w:rPr>
          <w:lang w:val="fr-FR"/>
        </w:rPr>
        <w:t>.  La Cour observe enfin que, selon sa jurisprudence, un État qui se dote d</w:t>
      </w:r>
      <w:r w:rsidR="00F334C1">
        <w:rPr>
          <w:lang w:val="fr-FR"/>
        </w:rPr>
        <w:t>’</w:t>
      </w:r>
      <w:r w:rsidRPr="008E72F9">
        <w:rPr>
          <w:lang w:val="fr-FR"/>
        </w:rPr>
        <w:t>une Cour de cassation a l</w:t>
      </w:r>
      <w:r w:rsidR="00F334C1">
        <w:rPr>
          <w:lang w:val="fr-FR"/>
        </w:rPr>
        <w:t>’</w:t>
      </w:r>
      <w:r w:rsidRPr="008E72F9">
        <w:rPr>
          <w:lang w:val="fr-FR"/>
        </w:rPr>
        <w:t>obligation de veiller à ce que les justiciables jouissent auprès d</w:t>
      </w:r>
      <w:r w:rsidR="00F334C1">
        <w:rPr>
          <w:lang w:val="fr-FR"/>
        </w:rPr>
        <w:t>’</w:t>
      </w:r>
      <w:r w:rsidRPr="008E72F9">
        <w:rPr>
          <w:lang w:val="fr-FR"/>
        </w:rPr>
        <w:t>elle des garanties fondamentales de l</w:t>
      </w:r>
      <w:r w:rsidR="00F334C1">
        <w:rPr>
          <w:lang w:val="fr-FR"/>
        </w:rPr>
        <w:t>’</w:t>
      </w:r>
      <w:r w:rsidRPr="008E72F9">
        <w:rPr>
          <w:lang w:val="fr-FR"/>
        </w:rPr>
        <w:t xml:space="preserve">article 6 (voir </w:t>
      </w:r>
      <w:r w:rsidRPr="008E72F9">
        <w:rPr>
          <w:i/>
          <w:lang w:val="fr-FR"/>
        </w:rPr>
        <w:t>Ekbatani c. Suède</w:t>
      </w:r>
      <w:r w:rsidRPr="008E72F9">
        <w:rPr>
          <w:lang w:val="fr-FR"/>
        </w:rPr>
        <w:t>, 26 mai 1988, § 24, série A p.12 n</w:t>
      </w:r>
      <w:r w:rsidRPr="008E72F9">
        <w:rPr>
          <w:vertAlign w:val="superscript"/>
          <w:lang w:val="fr-FR"/>
        </w:rPr>
        <w:t>o</w:t>
      </w:r>
      <w:r w:rsidRPr="008E72F9">
        <w:rPr>
          <w:lang w:val="fr-FR"/>
        </w:rPr>
        <w:t xml:space="preserve"> 134). La manière dont l</w:t>
      </w:r>
      <w:r w:rsidR="00F334C1">
        <w:rPr>
          <w:lang w:val="fr-FR"/>
        </w:rPr>
        <w:t>’</w:t>
      </w:r>
      <w:r w:rsidRPr="008E72F9">
        <w:rPr>
          <w:lang w:val="fr-FR"/>
        </w:rPr>
        <w:t>article 6 § 1 s</w:t>
      </w:r>
      <w:r w:rsidR="00F334C1">
        <w:rPr>
          <w:lang w:val="fr-FR"/>
        </w:rPr>
        <w:t>’</w:t>
      </w:r>
      <w:r w:rsidRPr="008E72F9">
        <w:rPr>
          <w:lang w:val="fr-FR"/>
        </w:rPr>
        <w:t>y applique dépend des particularités de la procédure en cause. Pour en juger, il faut prendre en compte l</w:t>
      </w:r>
      <w:r w:rsidR="00F334C1">
        <w:rPr>
          <w:lang w:val="fr-FR"/>
        </w:rPr>
        <w:t>’</w:t>
      </w:r>
      <w:r w:rsidRPr="008E72F9">
        <w:rPr>
          <w:lang w:val="fr-FR"/>
        </w:rPr>
        <w:t>ensemble du procès mené dans l</w:t>
      </w:r>
      <w:r w:rsidR="00F334C1">
        <w:rPr>
          <w:lang w:val="fr-FR"/>
        </w:rPr>
        <w:t>’</w:t>
      </w:r>
      <w:r w:rsidRPr="008E72F9">
        <w:rPr>
          <w:lang w:val="fr-FR"/>
        </w:rPr>
        <w:t>ordre juridique interne et le rôle qu</w:t>
      </w:r>
      <w:r w:rsidR="00F334C1">
        <w:rPr>
          <w:lang w:val="fr-FR"/>
        </w:rPr>
        <w:t>’</w:t>
      </w:r>
      <w:r w:rsidRPr="008E72F9">
        <w:rPr>
          <w:lang w:val="fr-FR"/>
        </w:rPr>
        <w:t>y a joué la juridiction de cassation, les conditions de recevabilité d</w:t>
      </w:r>
      <w:r w:rsidR="00F334C1">
        <w:rPr>
          <w:lang w:val="fr-FR"/>
        </w:rPr>
        <w:t>’</w:t>
      </w:r>
      <w:r w:rsidRPr="008E72F9">
        <w:rPr>
          <w:lang w:val="fr-FR"/>
        </w:rPr>
        <w:t>un pourvoi pouvant être plus rigoureuses que pour un appel (voir, parmi d</w:t>
      </w:r>
      <w:r w:rsidR="00F334C1">
        <w:rPr>
          <w:lang w:val="fr-FR"/>
        </w:rPr>
        <w:t>’</w:t>
      </w:r>
      <w:r w:rsidRPr="008E72F9">
        <w:rPr>
          <w:lang w:val="fr-FR"/>
        </w:rPr>
        <w:t xml:space="preserve">autres, </w:t>
      </w:r>
      <w:r w:rsidRPr="008E72F9">
        <w:rPr>
          <w:i/>
          <w:lang w:val="fr-FR"/>
        </w:rPr>
        <w:t>Brualla Gómez de la Torre c. Espagne</w:t>
      </w:r>
      <w:r w:rsidRPr="008E72F9">
        <w:rPr>
          <w:lang w:val="fr-FR"/>
        </w:rPr>
        <w:t xml:space="preserve">, arrêt du 19 décembre 1997, </w:t>
      </w:r>
      <w:r w:rsidRPr="008E72F9">
        <w:rPr>
          <w:i/>
          <w:lang w:val="fr-FR"/>
        </w:rPr>
        <w:t>Recueil</w:t>
      </w:r>
      <w:r w:rsidRPr="008E72F9">
        <w:rPr>
          <w:lang w:val="fr-FR"/>
        </w:rPr>
        <w:t xml:space="preserve"> </w:t>
      </w:r>
      <w:r w:rsidR="00723D67">
        <w:rPr>
          <w:lang w:val="fr-FR"/>
        </w:rPr>
        <w:br/>
      </w:r>
      <w:r w:rsidRPr="008E72F9">
        <w:rPr>
          <w:lang w:val="fr-FR"/>
        </w:rPr>
        <w:t xml:space="preserve">1997-VIII, p. 2956, §37 ; </w:t>
      </w:r>
      <w:r w:rsidRPr="008E72F9">
        <w:rPr>
          <w:i/>
          <w:lang w:val="fr-FR"/>
        </w:rPr>
        <w:t>Mohr c. Luxembourg</w:t>
      </w:r>
      <w:r w:rsidRPr="008E72F9">
        <w:rPr>
          <w:lang w:val="fr-FR"/>
        </w:rPr>
        <w:t xml:space="preserve"> (déc.), précité).</w:t>
      </w:r>
    </w:p>
    <w:p w:rsidR="008E72F9" w:rsidRPr="008E72F9" w:rsidRDefault="008E72F9" w:rsidP="00D2306B">
      <w:pPr>
        <w:pStyle w:val="ECHRHeading3"/>
        <w:rPr>
          <w:lang w:val="fr-FR"/>
        </w:rPr>
      </w:pPr>
      <w:r w:rsidRPr="008E72F9">
        <w:rPr>
          <w:lang w:val="fr-FR"/>
        </w:rPr>
        <w:t>2.  Application en l</w:t>
      </w:r>
      <w:r w:rsidR="00F334C1">
        <w:rPr>
          <w:lang w:val="fr-FR"/>
        </w:rPr>
        <w:t>’</w:t>
      </w:r>
      <w:r w:rsidRPr="008E72F9">
        <w:rPr>
          <w:lang w:val="fr-FR"/>
        </w:rPr>
        <w:t>espèce des principes susmentionnés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42</w:t>
      </w:r>
      <w:r w:rsidRPr="008E72F9">
        <w:rPr>
          <w:lang w:val="fr-FR"/>
        </w:rPr>
        <w:fldChar w:fldCharType="end"/>
      </w:r>
      <w:r w:rsidRPr="008E72F9">
        <w:rPr>
          <w:lang w:val="fr-FR"/>
        </w:rPr>
        <w:t>.  À titre préliminaire, la Cour note que le Gouvernement a avancé la thèse selon laquelle le droit à un double degré de juridiction existerait seulement en matière pénale alors qu</w:t>
      </w:r>
      <w:r w:rsidR="00F334C1">
        <w:rPr>
          <w:lang w:val="fr-FR"/>
        </w:rPr>
        <w:t>’</w:t>
      </w:r>
      <w:r w:rsidRPr="008E72F9">
        <w:rPr>
          <w:lang w:val="fr-FR"/>
        </w:rPr>
        <w:t>en matière civile, les États peuvent imposer des limites au réexamen d</w:t>
      </w:r>
      <w:r w:rsidR="00F334C1">
        <w:rPr>
          <w:lang w:val="fr-FR"/>
        </w:rPr>
        <w:t>’</w:t>
      </w:r>
      <w:r w:rsidRPr="008E72F9">
        <w:rPr>
          <w:lang w:val="fr-FR"/>
        </w:rPr>
        <w:t>une affaire en raison de la marge d</w:t>
      </w:r>
      <w:r w:rsidR="00F334C1">
        <w:rPr>
          <w:lang w:val="fr-FR"/>
        </w:rPr>
        <w:t>’</w:t>
      </w:r>
      <w:r w:rsidRPr="008E72F9">
        <w:rPr>
          <w:lang w:val="fr-FR"/>
        </w:rPr>
        <w:t>appréciation dont ils bénéficient. Or, dans l</w:t>
      </w:r>
      <w:r w:rsidR="00F334C1">
        <w:rPr>
          <w:lang w:val="fr-FR"/>
        </w:rPr>
        <w:t>’</w:t>
      </w:r>
      <w:r w:rsidRPr="008E72F9">
        <w:rPr>
          <w:lang w:val="fr-FR"/>
        </w:rPr>
        <w:t xml:space="preserve">arrêt </w:t>
      </w:r>
      <w:r w:rsidRPr="008E72F9">
        <w:rPr>
          <w:i/>
          <w:lang w:val="fr-FR"/>
        </w:rPr>
        <w:t>Delcourt</w:t>
      </w:r>
      <w:r w:rsidRPr="008E72F9">
        <w:rPr>
          <w:lang w:val="fr-FR"/>
        </w:rPr>
        <w:t xml:space="preserve"> précité (paragraphes 25-26), la Cour a déjà rappelé que, s</w:t>
      </w:r>
      <w:r w:rsidR="00F334C1">
        <w:rPr>
          <w:lang w:val="fr-FR"/>
        </w:rPr>
        <w:t>’</w:t>
      </w:r>
      <w:r w:rsidRPr="008E72F9">
        <w:rPr>
          <w:lang w:val="fr-FR"/>
        </w:rPr>
        <w:t>il est vrai que l</w:t>
      </w:r>
      <w:r w:rsidR="00F334C1">
        <w:rPr>
          <w:lang w:val="fr-FR"/>
        </w:rPr>
        <w:t>’</w:t>
      </w:r>
      <w:r w:rsidRPr="008E72F9">
        <w:rPr>
          <w:lang w:val="fr-FR"/>
        </w:rPr>
        <w:t>article 6 de la Convention n</w:t>
      </w:r>
      <w:r w:rsidR="00F334C1">
        <w:rPr>
          <w:lang w:val="fr-FR"/>
        </w:rPr>
        <w:t>’</w:t>
      </w:r>
      <w:r w:rsidRPr="008E72F9">
        <w:rPr>
          <w:lang w:val="fr-FR"/>
        </w:rPr>
        <w:t>astreint pas les États contractants à créer des cours d</w:t>
      </w:r>
      <w:r w:rsidR="00F334C1">
        <w:rPr>
          <w:lang w:val="fr-FR"/>
        </w:rPr>
        <w:t>’</w:t>
      </w:r>
      <w:r w:rsidRPr="008E72F9">
        <w:rPr>
          <w:lang w:val="fr-FR"/>
        </w:rPr>
        <w:t>appel ou de cassation, néanmoins, un État qui se dote de juridictions de cette nature a l</w:t>
      </w:r>
      <w:r w:rsidR="00F334C1">
        <w:rPr>
          <w:lang w:val="fr-FR"/>
        </w:rPr>
        <w:t>’</w:t>
      </w:r>
      <w:r w:rsidRPr="008E72F9">
        <w:rPr>
          <w:lang w:val="fr-FR"/>
        </w:rPr>
        <w:t>obligation de veiller à ce que les justiciables jouissent auprès d</w:t>
      </w:r>
      <w:r w:rsidR="00F334C1">
        <w:rPr>
          <w:lang w:val="fr-FR"/>
        </w:rPr>
        <w:t>’</w:t>
      </w:r>
      <w:r w:rsidRPr="008E72F9">
        <w:rPr>
          <w:lang w:val="fr-FR"/>
        </w:rPr>
        <w:t>elles des garanties fondamentales de l</w:t>
      </w:r>
      <w:r w:rsidR="00F334C1">
        <w:rPr>
          <w:lang w:val="fr-FR"/>
        </w:rPr>
        <w:t>’</w:t>
      </w:r>
      <w:r w:rsidRPr="008E72F9">
        <w:rPr>
          <w:lang w:val="fr-FR"/>
        </w:rPr>
        <w:t>article 6.</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43</w:t>
      </w:r>
      <w:r w:rsidRPr="008E72F9">
        <w:rPr>
          <w:lang w:val="fr-FR"/>
        </w:rPr>
        <w:fldChar w:fldCharType="end"/>
      </w:r>
      <w:r w:rsidRPr="008E72F9">
        <w:rPr>
          <w:lang w:val="fr-FR"/>
        </w:rPr>
        <w:t>.  Dans le cas d</w:t>
      </w:r>
      <w:r w:rsidR="00F334C1">
        <w:rPr>
          <w:lang w:val="fr-FR"/>
        </w:rPr>
        <w:t>’</w:t>
      </w:r>
      <w:r w:rsidRPr="008E72F9">
        <w:rPr>
          <w:lang w:val="fr-FR"/>
        </w:rPr>
        <w:t>espèce, la tâche de la Cour consiste à vérifier si le rejet pour irrecevabilité du pourvoi en cassation a privé le requérant de son droit de voir examiner le moyen présenté dans son pourvoi.</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44</w:t>
      </w:r>
      <w:r w:rsidRPr="008E72F9">
        <w:rPr>
          <w:lang w:val="fr-FR"/>
        </w:rPr>
        <w:fldChar w:fldCharType="end"/>
      </w:r>
      <w:r w:rsidRPr="008E72F9">
        <w:rPr>
          <w:lang w:val="fr-FR"/>
        </w:rPr>
        <w:t>.  Il y a lieu de constater que la Cour de cassation a déclaré le pourvoi du requérant irrecevable, en relevant que ce dernier s</w:t>
      </w:r>
      <w:r w:rsidR="00F334C1">
        <w:rPr>
          <w:lang w:val="fr-FR"/>
        </w:rPr>
        <w:t>’</w:t>
      </w:r>
      <w:r w:rsidRPr="008E72F9">
        <w:rPr>
          <w:lang w:val="fr-FR"/>
        </w:rPr>
        <w:t>était limité à attaquer un des deux motifs de rejet de la décision de la cour d</w:t>
      </w:r>
      <w:r w:rsidR="00F334C1">
        <w:rPr>
          <w:lang w:val="fr-FR"/>
        </w:rPr>
        <w:t>’</w:t>
      </w:r>
      <w:r w:rsidRPr="008E72F9">
        <w:rPr>
          <w:lang w:val="fr-FR"/>
        </w:rPr>
        <w:t>appel « Pinto ». En particulier, le requérant contestait le refus de reconnaître le dépassement du délai raisonnable, et non pas l</w:t>
      </w:r>
      <w:r w:rsidR="00F334C1">
        <w:rPr>
          <w:lang w:val="fr-FR"/>
        </w:rPr>
        <w:t>’</w:t>
      </w:r>
      <w:r w:rsidRPr="008E72F9">
        <w:rPr>
          <w:lang w:val="fr-FR"/>
        </w:rPr>
        <w:t>autre considérant, à s</w:t>
      </w:r>
      <w:r w:rsidR="008E5D44">
        <w:rPr>
          <w:lang w:val="fr-FR"/>
        </w:rPr>
        <w:t>avoir l</w:t>
      </w:r>
      <w:r w:rsidR="00F334C1">
        <w:rPr>
          <w:lang w:val="fr-FR"/>
        </w:rPr>
        <w:t>’</w:t>
      </w:r>
      <w:r w:rsidR="008E5D44">
        <w:rPr>
          <w:lang w:val="fr-FR"/>
        </w:rPr>
        <w:t>exclusion du préjudice.</w:t>
      </w:r>
    </w:p>
    <w:p w:rsidR="008E72F9" w:rsidRPr="008E72F9" w:rsidRDefault="008E72F9" w:rsidP="00294E48">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45</w:t>
      </w:r>
      <w:r w:rsidRPr="008E72F9">
        <w:rPr>
          <w:lang w:val="fr-FR"/>
        </w:rPr>
        <w:fldChar w:fldCharType="end"/>
      </w:r>
      <w:r w:rsidRPr="008E72F9">
        <w:rPr>
          <w:lang w:val="fr-FR"/>
        </w:rPr>
        <w:t xml:space="preserve">.  La Cour constate que la Cour de cassation a appliqué sa jurisprudence constante, selon laquelle, lorsque la décision attaquée se fonde sur plusieurs considérants, chacun apte à la justifier logiquement et juridiquement, le fait de contester un seul de ceux-ci </w:t>
      </w:r>
      <w:r w:rsidR="005E7052">
        <w:rPr>
          <w:lang w:val="fr-FR"/>
        </w:rPr>
        <w:t>entraîne</w:t>
      </w:r>
      <w:r w:rsidR="00F334C1">
        <w:rPr>
          <w:lang w:val="fr-FR"/>
        </w:rPr>
        <w:t xml:space="preserve"> </w:t>
      </w:r>
      <w:r w:rsidRPr="008E72F9">
        <w:rPr>
          <w:lang w:val="fr-FR"/>
        </w:rPr>
        <w:t>l</w:t>
      </w:r>
      <w:r w:rsidR="00F334C1">
        <w:rPr>
          <w:lang w:val="fr-FR"/>
        </w:rPr>
        <w:t>’</w:t>
      </w:r>
      <w:r w:rsidRPr="008E72F9">
        <w:rPr>
          <w:lang w:val="fr-FR"/>
        </w:rPr>
        <w:t>irrecevabilité du pourvoi en cassation pour défaut  de contestation des autres considéra</w:t>
      </w:r>
      <w:r w:rsidR="008E5D44">
        <w:rPr>
          <w:lang w:val="fr-FR"/>
        </w:rPr>
        <w:t>nts.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46</w:t>
      </w:r>
      <w:r w:rsidRPr="008E72F9">
        <w:rPr>
          <w:lang w:val="fr-FR"/>
        </w:rPr>
        <w:fldChar w:fldCharType="end"/>
      </w:r>
      <w:r w:rsidRPr="008E72F9">
        <w:rPr>
          <w:lang w:val="fr-FR"/>
        </w:rPr>
        <w:t>.  La Cour relève qu</w:t>
      </w:r>
      <w:r w:rsidR="00F334C1">
        <w:rPr>
          <w:lang w:val="fr-FR"/>
        </w:rPr>
        <w:t>’</w:t>
      </w:r>
      <w:r w:rsidRPr="008E72F9">
        <w:rPr>
          <w:lang w:val="fr-FR"/>
        </w:rPr>
        <w:t>en l</w:t>
      </w:r>
      <w:r w:rsidR="00F334C1">
        <w:rPr>
          <w:lang w:val="fr-FR"/>
        </w:rPr>
        <w:t>’</w:t>
      </w:r>
      <w:r w:rsidRPr="008E72F9">
        <w:rPr>
          <w:lang w:val="fr-FR"/>
        </w:rPr>
        <w:t>espèce, la décision de la cour d</w:t>
      </w:r>
      <w:r w:rsidR="00F334C1">
        <w:rPr>
          <w:lang w:val="fr-FR"/>
        </w:rPr>
        <w:t>’</w:t>
      </w:r>
      <w:r w:rsidRPr="008E72F9">
        <w:rPr>
          <w:lang w:val="fr-FR"/>
        </w:rPr>
        <w:t>appel « Pinto » s</w:t>
      </w:r>
      <w:r w:rsidR="00F334C1">
        <w:rPr>
          <w:lang w:val="fr-FR"/>
        </w:rPr>
        <w:t>’</w:t>
      </w:r>
      <w:r w:rsidRPr="008E72F9">
        <w:rPr>
          <w:lang w:val="fr-FR"/>
        </w:rPr>
        <w:t>est fondée sur deux considérants autonomes, à savoir le constat de non dépassement du délai raisonnable et l</w:t>
      </w:r>
      <w:r w:rsidR="00F334C1">
        <w:rPr>
          <w:lang w:val="fr-FR"/>
        </w:rPr>
        <w:t>’</w:t>
      </w:r>
      <w:r w:rsidRPr="008E72F9">
        <w:rPr>
          <w:lang w:val="fr-FR"/>
        </w:rPr>
        <w:t>exclusion du préjudice subi par le requérant. Par conséquent, ce dernier était tenu d</w:t>
      </w:r>
      <w:r w:rsidR="00F334C1">
        <w:rPr>
          <w:lang w:val="fr-FR"/>
        </w:rPr>
        <w:t>’</w:t>
      </w:r>
      <w:r w:rsidRPr="008E72F9">
        <w:rPr>
          <w:lang w:val="fr-FR"/>
        </w:rPr>
        <w:t>attaquer les deux considérants autonomes.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47</w:t>
      </w:r>
      <w:r w:rsidRPr="008E72F9">
        <w:rPr>
          <w:lang w:val="fr-FR"/>
        </w:rPr>
        <w:fldChar w:fldCharType="end"/>
      </w:r>
      <w:r w:rsidRPr="008E72F9">
        <w:rPr>
          <w:lang w:val="fr-FR"/>
        </w:rPr>
        <w:t>.  Ainsi, la Cour considère que la précision exigée par la Cour de cassation, dans la formulation du moyen de cassation litigieux, n</w:t>
      </w:r>
      <w:r w:rsidR="00F334C1">
        <w:rPr>
          <w:lang w:val="fr-FR"/>
        </w:rPr>
        <w:t>’</w:t>
      </w:r>
      <w:r w:rsidRPr="008E72F9">
        <w:rPr>
          <w:lang w:val="fr-FR"/>
        </w:rPr>
        <w:t xml:space="preserve">était pas déraisonnable ou arbitraire pour que cette dernière puisse exercer son contrôle (voir </w:t>
      </w:r>
      <w:r w:rsidRPr="008E72F9">
        <w:rPr>
          <w:i/>
          <w:lang w:val="fr-FR"/>
        </w:rPr>
        <w:t>Em Linija D.o.o. c. Croatie</w:t>
      </w:r>
      <w:r w:rsidRPr="008E72F9">
        <w:rPr>
          <w:lang w:val="fr-FR"/>
        </w:rPr>
        <w:t xml:space="preserve"> (déc.), n</w:t>
      </w:r>
      <w:r w:rsidR="00F334C1" w:rsidRPr="00F334C1">
        <w:rPr>
          <w:vertAlign w:val="superscript"/>
          <w:lang w:val="fr-FR"/>
        </w:rPr>
        <w:t>o</w:t>
      </w:r>
      <w:r w:rsidRPr="008E72F9">
        <w:rPr>
          <w:lang w:val="fr-FR"/>
        </w:rPr>
        <w:t xml:space="preserve"> 27140/03, 22 novembre 2007).</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48</w:t>
      </w:r>
      <w:r w:rsidRPr="008E72F9">
        <w:rPr>
          <w:lang w:val="fr-FR"/>
        </w:rPr>
        <w:fldChar w:fldCharType="end"/>
      </w:r>
      <w:r w:rsidRPr="008E72F9">
        <w:rPr>
          <w:lang w:val="fr-FR"/>
        </w:rPr>
        <w:t>.  Dans ces conditions, la Cour estime que le requérant ne saurait soutenir que l</w:t>
      </w:r>
      <w:r w:rsidR="00F334C1">
        <w:rPr>
          <w:lang w:val="fr-FR"/>
        </w:rPr>
        <w:t>’</w:t>
      </w:r>
      <w:r w:rsidRPr="008E72F9">
        <w:rPr>
          <w:lang w:val="fr-FR"/>
        </w:rPr>
        <w:t>irrecevabilité de son pourvoi en cassation constitue une entrave disproportionnée à son droit d</w:t>
      </w:r>
      <w:r w:rsidR="00F334C1">
        <w:rPr>
          <w:lang w:val="fr-FR"/>
        </w:rPr>
        <w:t>’</w:t>
      </w:r>
      <w:r w:rsidRPr="008E72F9">
        <w:rPr>
          <w:lang w:val="fr-FR"/>
        </w:rPr>
        <w:t xml:space="preserve">accès à la justice (voir </w:t>
      </w:r>
      <w:r w:rsidRPr="008E72F9">
        <w:rPr>
          <w:i/>
          <w:lang w:val="fr-FR"/>
        </w:rPr>
        <w:t xml:space="preserve">Veselsky </w:t>
      </w:r>
      <w:r w:rsidR="00723D67">
        <w:rPr>
          <w:i/>
          <w:lang w:val="fr-FR"/>
        </w:rPr>
        <w:br/>
      </w:r>
      <w:r w:rsidRPr="008E72F9">
        <w:rPr>
          <w:i/>
          <w:lang w:val="fr-FR"/>
        </w:rPr>
        <w:t>c. République Tchèque</w:t>
      </w:r>
      <w:r w:rsidRPr="008E72F9">
        <w:rPr>
          <w:lang w:val="fr-FR"/>
        </w:rPr>
        <w:t xml:space="preserve"> (déc.), n</w:t>
      </w:r>
      <w:r w:rsidR="00F334C1" w:rsidRPr="00F334C1">
        <w:rPr>
          <w:vertAlign w:val="superscript"/>
          <w:lang w:val="fr-FR"/>
        </w:rPr>
        <w:t>o</w:t>
      </w:r>
      <w:r w:rsidRPr="008E72F9">
        <w:rPr>
          <w:lang w:val="fr-FR"/>
        </w:rPr>
        <w:t xml:space="preserve"> 30020/11, 31 mars 2015) et que, dès lors, il n</w:t>
      </w:r>
      <w:r w:rsidR="00F334C1">
        <w:rPr>
          <w:lang w:val="fr-FR"/>
        </w:rPr>
        <w:t>’</w:t>
      </w:r>
      <w:r w:rsidRPr="008E72F9">
        <w:rPr>
          <w:lang w:val="fr-FR"/>
        </w:rPr>
        <w:t>y a pas eu atteinte à la substance de son droit à un tribunal que garantit l</w:t>
      </w:r>
      <w:r w:rsidR="00F334C1">
        <w:rPr>
          <w:lang w:val="fr-FR"/>
        </w:rPr>
        <w:t>’</w:t>
      </w:r>
      <w:r w:rsidRPr="008E72F9">
        <w:rPr>
          <w:lang w:val="fr-FR"/>
        </w:rPr>
        <w:t>article 6 § 1 de la Convention (voir l</w:t>
      </w:r>
      <w:r w:rsidR="00F334C1">
        <w:rPr>
          <w:lang w:val="fr-FR"/>
        </w:rPr>
        <w:t>’</w:t>
      </w:r>
      <w:r w:rsidRPr="008E72F9">
        <w:rPr>
          <w:lang w:val="fr-FR"/>
        </w:rPr>
        <w:t xml:space="preserve">arrêt </w:t>
      </w:r>
      <w:r w:rsidRPr="008E72F9">
        <w:rPr>
          <w:i/>
          <w:lang w:val="fr-FR"/>
        </w:rPr>
        <w:t xml:space="preserve">Brualla Gómez de la Torre </w:t>
      </w:r>
      <w:r w:rsidR="00723D67">
        <w:rPr>
          <w:i/>
          <w:lang w:val="fr-FR"/>
        </w:rPr>
        <w:br/>
      </w:r>
      <w:r w:rsidRPr="008E72F9">
        <w:rPr>
          <w:i/>
          <w:lang w:val="fr-FR"/>
        </w:rPr>
        <w:t>c. Espagne</w:t>
      </w:r>
      <w:r w:rsidRPr="008E72F9">
        <w:rPr>
          <w:lang w:val="fr-FR"/>
        </w:rPr>
        <w:t>, précité, §39). Partant, il n</w:t>
      </w:r>
      <w:r w:rsidR="00F334C1">
        <w:rPr>
          <w:lang w:val="fr-FR"/>
        </w:rPr>
        <w:t>’</w:t>
      </w:r>
      <w:r w:rsidRPr="008E72F9">
        <w:rPr>
          <w:lang w:val="fr-FR"/>
        </w:rPr>
        <w:t>y a pas eu violation de cette disposition.</w:t>
      </w:r>
    </w:p>
    <w:p w:rsidR="008E72F9" w:rsidRPr="008E72F9" w:rsidRDefault="008E72F9" w:rsidP="00D2306B">
      <w:pPr>
        <w:pStyle w:val="ECHRHeading1"/>
        <w:rPr>
          <w:lang w:val="fr-FR"/>
        </w:rPr>
      </w:pPr>
      <w:r w:rsidRPr="008E72F9">
        <w:rPr>
          <w:lang w:val="fr-FR"/>
        </w:rPr>
        <w:t>II.  SUR LA VIOLATION ALLÉGUÉE DE L</w:t>
      </w:r>
      <w:r w:rsidR="00F334C1">
        <w:rPr>
          <w:lang w:val="fr-FR"/>
        </w:rPr>
        <w:t>’</w:t>
      </w:r>
      <w:r w:rsidRPr="008E72F9">
        <w:rPr>
          <w:lang w:val="fr-FR"/>
        </w:rPr>
        <w:t>ARTICLE 6 § 1 DE LA CONVENTION (DROIT À UN PROC</w:t>
      </w:r>
      <w:r w:rsidRPr="008E72F9">
        <w:rPr>
          <w:rFonts w:cstheme="majorHAnsi"/>
          <w:lang w:val="fr-FR"/>
        </w:rPr>
        <w:t>È</w:t>
      </w:r>
      <w:r w:rsidRPr="008E72F9">
        <w:rPr>
          <w:lang w:val="fr-FR"/>
        </w:rPr>
        <w:t>S DANS UN D</w:t>
      </w:r>
      <w:r w:rsidRPr="008E72F9">
        <w:rPr>
          <w:rFonts w:cstheme="majorHAnsi"/>
          <w:lang w:val="fr-FR"/>
        </w:rPr>
        <w:t>É</w:t>
      </w:r>
      <w:r w:rsidRPr="008E72F9">
        <w:rPr>
          <w:lang w:val="fr-FR"/>
        </w:rPr>
        <w:t>LAI RAISONNABLE)</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49</w:t>
      </w:r>
      <w:r w:rsidRPr="008E72F9">
        <w:rPr>
          <w:lang w:val="fr-FR"/>
        </w:rPr>
        <w:fldChar w:fldCharType="end"/>
      </w:r>
      <w:r w:rsidRPr="008E72F9">
        <w:rPr>
          <w:lang w:val="fr-FR"/>
        </w:rPr>
        <w:t>.  Le requérant se plaint, sous l</w:t>
      </w:r>
      <w:r w:rsidR="00F334C1">
        <w:rPr>
          <w:lang w:val="fr-FR"/>
        </w:rPr>
        <w:t>’</w:t>
      </w:r>
      <w:r w:rsidRPr="008E72F9">
        <w:rPr>
          <w:lang w:val="fr-FR"/>
        </w:rPr>
        <w:t>angle de l</w:t>
      </w:r>
      <w:r w:rsidR="00F334C1">
        <w:rPr>
          <w:lang w:val="fr-FR"/>
        </w:rPr>
        <w:t>’</w:t>
      </w:r>
      <w:r w:rsidRPr="008E72F9">
        <w:rPr>
          <w:lang w:val="fr-FR"/>
        </w:rPr>
        <w:t>article 6 § 1 de la Convention, de la durée excessive des procédures devant les juridictions pénales et comptables, qu</w:t>
      </w:r>
      <w:r w:rsidR="00F334C1">
        <w:rPr>
          <w:lang w:val="fr-FR"/>
        </w:rPr>
        <w:t>’</w:t>
      </w:r>
      <w:r w:rsidRPr="008E72F9">
        <w:rPr>
          <w:lang w:val="fr-FR"/>
        </w:rPr>
        <w:t>il considère comme liées, et de l</w:t>
      </w:r>
      <w:r w:rsidR="00F334C1">
        <w:rPr>
          <w:lang w:val="fr-FR"/>
        </w:rPr>
        <w:t>’</w:t>
      </w:r>
      <w:r w:rsidRPr="008E72F9">
        <w:rPr>
          <w:lang w:val="fr-FR"/>
        </w:rPr>
        <w:t>absence de redressement dans le cadre de la procédure « Pinto ». Les dispositions pertinentes de l</w:t>
      </w:r>
      <w:r w:rsidR="00F334C1">
        <w:rPr>
          <w:lang w:val="fr-FR"/>
        </w:rPr>
        <w:t>’</w:t>
      </w:r>
      <w:r w:rsidRPr="008E72F9">
        <w:rPr>
          <w:lang w:val="fr-FR"/>
        </w:rPr>
        <w:t>article 6 § 1 sont ainsi libellées:</w:t>
      </w:r>
    </w:p>
    <w:p w:rsidR="008E72F9" w:rsidRPr="008E72F9" w:rsidRDefault="008E72F9" w:rsidP="00EA6476">
      <w:pPr>
        <w:pStyle w:val="JuQuotSub"/>
        <w:rPr>
          <w:lang w:val="fr-FR"/>
        </w:rPr>
      </w:pPr>
      <w:r w:rsidRPr="008E72F9">
        <w:rPr>
          <w:lang w:val="fr-FR"/>
        </w:rPr>
        <w:t>« Toute personne a droit à ce que sa cause soit entendue (...) dans un délai raisonnable, par un tribunal (...), qui décidera (...) des contestations sur ses droits et obligations de caractère civil (...) »</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50</w:t>
      </w:r>
      <w:r w:rsidRPr="008E72F9">
        <w:rPr>
          <w:lang w:val="fr-FR"/>
        </w:rPr>
        <w:fldChar w:fldCharType="end"/>
      </w:r>
      <w:r w:rsidRPr="008E72F9">
        <w:rPr>
          <w:lang w:val="fr-FR"/>
        </w:rPr>
        <w:t>.  Le Gouvernement conteste cette thèse.</w:t>
      </w:r>
    </w:p>
    <w:p w:rsidR="008E72F9" w:rsidRPr="008E72F9" w:rsidRDefault="008E72F9" w:rsidP="00D2306B">
      <w:pPr>
        <w:pStyle w:val="ECHRHeading2"/>
        <w:rPr>
          <w:lang w:val="fr-FR"/>
        </w:rPr>
      </w:pPr>
      <w:r w:rsidRPr="008E72F9">
        <w:rPr>
          <w:lang w:val="fr-FR"/>
        </w:rPr>
        <w:t>Sur la recevabilité</w:t>
      </w:r>
    </w:p>
    <w:p w:rsidR="00F334C1"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51</w:t>
      </w:r>
      <w:r w:rsidRPr="008E72F9">
        <w:rPr>
          <w:lang w:val="fr-FR"/>
        </w:rPr>
        <w:fldChar w:fldCharType="end"/>
      </w:r>
      <w:r w:rsidRPr="008E72F9">
        <w:rPr>
          <w:lang w:val="fr-FR"/>
        </w:rPr>
        <w:t>.  Le Gouvernement plaide l</w:t>
      </w:r>
      <w:r w:rsidR="00F334C1">
        <w:rPr>
          <w:lang w:val="fr-FR"/>
        </w:rPr>
        <w:t>’</w:t>
      </w:r>
      <w:r w:rsidRPr="008E72F9">
        <w:rPr>
          <w:lang w:val="fr-FR"/>
        </w:rPr>
        <w:t>irrecevabilité de l</w:t>
      </w:r>
      <w:r w:rsidR="00F334C1">
        <w:rPr>
          <w:lang w:val="fr-FR"/>
        </w:rPr>
        <w:t>’</w:t>
      </w:r>
      <w:r w:rsidRPr="008E72F9">
        <w:rPr>
          <w:lang w:val="fr-FR"/>
        </w:rPr>
        <w:t>affaire. Il soutient que le requérant aurait failli à l</w:t>
      </w:r>
      <w:r w:rsidR="00F334C1">
        <w:rPr>
          <w:lang w:val="fr-FR"/>
        </w:rPr>
        <w:t>’</w:t>
      </w:r>
      <w:r w:rsidRPr="008E72F9">
        <w:rPr>
          <w:lang w:val="fr-FR"/>
        </w:rPr>
        <w:t>obligation prévue à l</w:t>
      </w:r>
      <w:r w:rsidR="00F334C1">
        <w:rPr>
          <w:lang w:val="fr-FR"/>
        </w:rPr>
        <w:t>’</w:t>
      </w:r>
      <w:r w:rsidRPr="008E72F9">
        <w:rPr>
          <w:lang w:val="fr-FR"/>
        </w:rPr>
        <w:t>article 35 § 1 de la Convention d</w:t>
      </w:r>
      <w:r w:rsidR="00F334C1">
        <w:rPr>
          <w:lang w:val="fr-FR"/>
        </w:rPr>
        <w:t>’</w:t>
      </w:r>
      <w:r w:rsidRPr="008E72F9">
        <w:rPr>
          <w:lang w:val="fr-FR"/>
        </w:rPr>
        <w:t>épuiser les voies de recours internes.</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52</w:t>
      </w:r>
      <w:r w:rsidRPr="008E72F9">
        <w:rPr>
          <w:lang w:val="fr-FR"/>
        </w:rPr>
        <w:fldChar w:fldCharType="end"/>
      </w:r>
      <w:r w:rsidRPr="008E72F9">
        <w:rPr>
          <w:lang w:val="fr-FR"/>
        </w:rPr>
        <w:t>.  Le requérant argue quant à lui qu</w:t>
      </w:r>
      <w:r w:rsidR="00F334C1">
        <w:rPr>
          <w:lang w:val="fr-FR"/>
        </w:rPr>
        <w:t>’</w:t>
      </w:r>
      <w:r w:rsidRPr="008E72F9">
        <w:rPr>
          <w:lang w:val="fr-FR"/>
        </w:rPr>
        <w:t>en déclarant son pourvoi irrecevable, la Cour de cassation a fait preuve d</w:t>
      </w:r>
      <w:r w:rsidR="00F334C1">
        <w:rPr>
          <w:lang w:val="fr-FR"/>
        </w:rPr>
        <w:t>’</w:t>
      </w:r>
      <w:r w:rsidRPr="008E72F9">
        <w:rPr>
          <w:lang w:val="fr-FR"/>
        </w:rPr>
        <w:t>un formalisme excessif et a violé son droit à un tribunal, lui empêchant de voir examiné au fond ses allégations sur la durée excessive de la procédure.</w:t>
      </w:r>
    </w:p>
    <w:p w:rsidR="00F334C1"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53</w:t>
      </w:r>
      <w:r w:rsidRPr="008E72F9">
        <w:rPr>
          <w:lang w:val="fr-FR"/>
        </w:rPr>
        <w:fldChar w:fldCharType="end"/>
      </w:r>
      <w:r w:rsidRPr="008E72F9">
        <w:rPr>
          <w:lang w:val="fr-FR"/>
        </w:rPr>
        <w:t>.  La Cour rappelle que la règle de l</w:t>
      </w:r>
      <w:r w:rsidR="00F334C1">
        <w:rPr>
          <w:lang w:val="fr-FR"/>
        </w:rPr>
        <w:t>’</w:t>
      </w:r>
      <w:r w:rsidRPr="008E72F9">
        <w:rPr>
          <w:lang w:val="fr-FR"/>
        </w:rPr>
        <w:t>épuisement des voies de recours internes énoncée à l</w:t>
      </w:r>
      <w:r w:rsidR="00F334C1">
        <w:rPr>
          <w:lang w:val="fr-FR"/>
        </w:rPr>
        <w:t>’</w:t>
      </w:r>
      <w:r w:rsidRPr="008E72F9">
        <w:rPr>
          <w:lang w:val="fr-FR"/>
        </w:rPr>
        <w:t>article 35 § 1 de la Convention impose aux requérants de se prévaloir d</w:t>
      </w:r>
      <w:r w:rsidR="00F334C1">
        <w:rPr>
          <w:lang w:val="fr-FR"/>
        </w:rPr>
        <w:t>’</w:t>
      </w:r>
      <w:r w:rsidRPr="008E72F9">
        <w:rPr>
          <w:lang w:val="fr-FR"/>
        </w:rPr>
        <w:t>abord des recours normalement disponibles et suffisants dans le système juridique de leur pays pour leur permettre d</w:t>
      </w:r>
      <w:r w:rsidR="00F334C1">
        <w:rPr>
          <w:lang w:val="fr-FR"/>
        </w:rPr>
        <w:t>’</w:t>
      </w:r>
      <w:r w:rsidRPr="008E72F9">
        <w:rPr>
          <w:lang w:val="fr-FR"/>
        </w:rPr>
        <w:t>obtenir réparation des violations qu</w:t>
      </w:r>
      <w:r w:rsidR="00F334C1">
        <w:rPr>
          <w:lang w:val="fr-FR"/>
        </w:rPr>
        <w:t>’</w:t>
      </w:r>
      <w:r w:rsidRPr="008E72F9">
        <w:rPr>
          <w:lang w:val="fr-FR"/>
        </w:rPr>
        <w:t>ils allèguent</w:t>
      </w:r>
      <w:r w:rsidRPr="008E72F9">
        <w:rPr>
          <w:i/>
          <w:lang w:val="fr-FR"/>
        </w:rPr>
        <w:t xml:space="preserve"> </w:t>
      </w:r>
      <w:r w:rsidRPr="008E72F9">
        <w:rPr>
          <w:lang w:val="fr-FR"/>
        </w:rPr>
        <w:t>(voir</w:t>
      </w:r>
      <w:r w:rsidRPr="008E72F9">
        <w:rPr>
          <w:i/>
          <w:lang w:val="fr-FR"/>
        </w:rPr>
        <w:t xml:space="preserve"> Vučković et autres c. Serbie </w:t>
      </w:r>
      <w:r w:rsidRPr="008E72F9">
        <w:rPr>
          <w:lang w:val="fr-FR"/>
        </w:rPr>
        <w:t>(exception préliminaire)</w:t>
      </w:r>
      <w:r w:rsidRPr="008E72F9">
        <w:rPr>
          <w:i/>
          <w:lang w:val="fr-FR"/>
        </w:rPr>
        <w:t xml:space="preserve"> </w:t>
      </w:r>
      <w:r w:rsidRPr="008E72F9">
        <w:rPr>
          <w:lang w:val="fr-FR"/>
        </w:rPr>
        <w:t>[GC], n</w:t>
      </w:r>
      <w:r w:rsidRPr="008E72F9">
        <w:rPr>
          <w:vertAlign w:val="superscript"/>
          <w:lang w:val="fr-FR"/>
        </w:rPr>
        <w:t>o</w:t>
      </w:r>
      <w:r w:rsidRPr="008E72F9">
        <w:rPr>
          <w:lang w:val="fr-FR"/>
        </w:rPr>
        <w:t xml:space="preserve"> 17153/11 et 29 autres requêtes</w:t>
      </w:r>
      <w:r w:rsidRPr="008E72F9">
        <w:rPr>
          <w:snapToGrid w:val="0"/>
          <w:color w:val="000000"/>
          <w:lang w:val="fr-FR"/>
        </w:rPr>
        <w:t xml:space="preserve">, §§ 69-77, </w:t>
      </w:r>
      <w:r w:rsidRPr="008E72F9">
        <w:rPr>
          <w:color w:val="000000"/>
          <w:lang w:val="fr-FR"/>
        </w:rPr>
        <w:t>25</w:t>
      </w:r>
      <w:r w:rsidRPr="008E72F9">
        <w:rPr>
          <w:snapToGrid w:val="0"/>
          <w:color w:val="000000"/>
          <w:lang w:val="fr-FR"/>
        </w:rPr>
        <w:t xml:space="preserve"> </w:t>
      </w:r>
      <w:r w:rsidRPr="008E72F9">
        <w:rPr>
          <w:color w:val="000000"/>
          <w:lang w:val="fr-FR"/>
        </w:rPr>
        <w:t>mars</w:t>
      </w:r>
      <w:r w:rsidRPr="008E72F9">
        <w:rPr>
          <w:snapToGrid w:val="0"/>
          <w:color w:val="000000"/>
          <w:lang w:val="fr-FR"/>
        </w:rPr>
        <w:t xml:space="preserve"> 2014</w:t>
      </w:r>
      <w:r w:rsidRPr="008E72F9">
        <w:rPr>
          <w:lang w:val="fr-FR"/>
        </w:rPr>
        <w:t>). Ces recours doivent exister à un degré suffisant de certitude, en pratique comme en théorie, sans quoi leur manquent l</w:t>
      </w:r>
      <w:r w:rsidR="00F334C1">
        <w:rPr>
          <w:lang w:val="fr-FR"/>
        </w:rPr>
        <w:t>’</w:t>
      </w:r>
      <w:r w:rsidRPr="008E72F9">
        <w:rPr>
          <w:lang w:val="fr-FR"/>
        </w:rPr>
        <w:t>effectivité et l</w:t>
      </w:r>
      <w:r w:rsidR="00F334C1">
        <w:rPr>
          <w:lang w:val="fr-FR"/>
        </w:rPr>
        <w:t>’</w:t>
      </w:r>
      <w:r w:rsidRPr="008E72F9">
        <w:rPr>
          <w:lang w:val="fr-FR"/>
        </w:rPr>
        <w:t>accessibilité voulues. L</w:t>
      </w:r>
      <w:r w:rsidR="00F334C1">
        <w:rPr>
          <w:lang w:val="fr-FR"/>
        </w:rPr>
        <w:t>’</w:t>
      </w:r>
      <w:r w:rsidRPr="008E72F9">
        <w:rPr>
          <w:lang w:val="fr-FR"/>
        </w:rPr>
        <w:t>article 35 § 1 impose aussi de soulever devant l</w:t>
      </w:r>
      <w:r w:rsidR="00F334C1">
        <w:rPr>
          <w:lang w:val="fr-FR"/>
        </w:rPr>
        <w:t>’</w:t>
      </w:r>
      <w:r w:rsidRPr="008E72F9">
        <w:rPr>
          <w:lang w:val="fr-FR"/>
        </w:rPr>
        <w:t>organe interne adéquat, au moins en substance et dans les formes et délais prescrits par le droit interne, les griefs que l</w:t>
      </w:r>
      <w:r w:rsidR="00F334C1">
        <w:rPr>
          <w:lang w:val="fr-FR"/>
        </w:rPr>
        <w:t>’</w:t>
      </w:r>
      <w:r w:rsidRPr="008E72F9">
        <w:rPr>
          <w:lang w:val="fr-FR"/>
        </w:rPr>
        <w:t>on entend formuler par la suite, mais il n</w:t>
      </w:r>
      <w:r w:rsidR="00F334C1">
        <w:rPr>
          <w:lang w:val="fr-FR"/>
        </w:rPr>
        <w:t>’</w:t>
      </w:r>
      <w:r w:rsidRPr="008E72F9">
        <w:rPr>
          <w:lang w:val="fr-FR"/>
        </w:rPr>
        <w:t>impose pas d</w:t>
      </w:r>
      <w:r w:rsidR="00F334C1">
        <w:rPr>
          <w:lang w:val="fr-FR"/>
        </w:rPr>
        <w:t>’</w:t>
      </w:r>
      <w:r w:rsidRPr="008E72F9">
        <w:rPr>
          <w:lang w:val="fr-FR"/>
        </w:rPr>
        <w:t xml:space="preserve">user de recours qui sont inadéquats ou ineffectifs (voir, par exemple, </w:t>
      </w:r>
      <w:r w:rsidRPr="008E72F9">
        <w:rPr>
          <w:i/>
          <w:lang w:val="fr-FR"/>
        </w:rPr>
        <w:t>Akdivar et autres c. Turquie</w:t>
      </w:r>
      <w:r w:rsidRPr="008E72F9">
        <w:rPr>
          <w:lang w:val="fr-FR"/>
        </w:rPr>
        <w:t xml:space="preserve">, 16 septembre 1996, §§ 65-67, </w:t>
      </w:r>
      <w:r w:rsidRPr="008E72F9">
        <w:rPr>
          <w:i/>
          <w:lang w:val="fr-FR"/>
        </w:rPr>
        <w:t>Recueil</w:t>
      </w:r>
      <w:r w:rsidRPr="008E72F9">
        <w:rPr>
          <w:lang w:val="fr-FR"/>
        </w:rPr>
        <w:t xml:space="preserve"> 1996-IV ; </w:t>
      </w:r>
      <w:r w:rsidRPr="008E72F9">
        <w:rPr>
          <w:i/>
          <w:lang w:val="fr-FR"/>
        </w:rPr>
        <w:t>Aksoy c. Turquie</w:t>
      </w:r>
      <w:r w:rsidRPr="008E72F9">
        <w:rPr>
          <w:lang w:val="fr-FR"/>
        </w:rPr>
        <w:t xml:space="preserve">, 18 décembre 1996, §§ 51-52, </w:t>
      </w:r>
      <w:r w:rsidRPr="008E72F9">
        <w:rPr>
          <w:i/>
          <w:lang w:val="fr-FR"/>
        </w:rPr>
        <w:t>Recueil</w:t>
      </w:r>
      <w:r w:rsidRPr="008E72F9">
        <w:rPr>
          <w:lang w:val="fr-FR"/>
        </w:rPr>
        <w:t xml:space="preserve"> 1996-VI ;</w:t>
      </w:r>
    </w:p>
    <w:p w:rsidR="008E72F9" w:rsidRPr="008E72F9" w:rsidRDefault="008E72F9" w:rsidP="00D2306B">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54</w:t>
      </w:r>
      <w:r w:rsidRPr="008E72F9">
        <w:rPr>
          <w:lang w:val="fr-FR"/>
        </w:rPr>
        <w:fldChar w:fldCharType="end"/>
      </w:r>
      <w:r w:rsidRPr="008E72F9">
        <w:rPr>
          <w:lang w:val="fr-FR"/>
        </w:rPr>
        <w:t>.  La Cour renvoie à ses conclusions relatives au pourvoi en cassation « Pinto », déclaré irrecevable pour « informalité », le requérant n</w:t>
      </w:r>
      <w:r w:rsidR="00F334C1">
        <w:rPr>
          <w:lang w:val="fr-FR"/>
        </w:rPr>
        <w:t>’</w:t>
      </w:r>
      <w:r w:rsidRPr="008E72F9">
        <w:rPr>
          <w:lang w:val="fr-FR"/>
        </w:rPr>
        <w:t>ayant pas correctement formulé ses moyens (voir les paragraphes 45-48). Par conséquent, elle estime qu</w:t>
      </w:r>
      <w:r w:rsidR="00F334C1">
        <w:rPr>
          <w:lang w:val="fr-FR"/>
        </w:rPr>
        <w:t>’</w:t>
      </w:r>
      <w:r w:rsidRPr="008E72F9">
        <w:rPr>
          <w:lang w:val="fr-FR"/>
        </w:rPr>
        <w:t>il y a lieu de rejeter ce grief pour non-épuisement des voies de recours internes, en application de l</w:t>
      </w:r>
      <w:r w:rsidR="00F334C1">
        <w:rPr>
          <w:lang w:val="fr-FR"/>
        </w:rPr>
        <w:t>’</w:t>
      </w:r>
      <w:r w:rsidRPr="008E72F9">
        <w:rPr>
          <w:lang w:val="fr-FR"/>
        </w:rPr>
        <w:t>article 35 §§ 1 et 4 de la Convention (voir, parmi d</w:t>
      </w:r>
      <w:r w:rsidR="00F334C1">
        <w:rPr>
          <w:lang w:val="fr-FR"/>
        </w:rPr>
        <w:t>’</w:t>
      </w:r>
      <w:r w:rsidRPr="008E72F9">
        <w:rPr>
          <w:lang w:val="fr-FR"/>
        </w:rPr>
        <w:t xml:space="preserve">autres, </w:t>
      </w:r>
      <w:r w:rsidRPr="008E72F9">
        <w:rPr>
          <w:i/>
          <w:iCs/>
          <w:lang w:val="fr-FR"/>
        </w:rPr>
        <w:t>Pugliese c. Italie</w:t>
      </w:r>
      <w:r w:rsidRPr="008E72F9">
        <w:rPr>
          <w:lang w:val="fr-FR"/>
        </w:rPr>
        <w:t>, n</w:t>
      </w:r>
      <w:r w:rsidR="00F334C1" w:rsidRPr="00F334C1">
        <w:rPr>
          <w:vertAlign w:val="superscript"/>
          <w:lang w:val="fr-FR"/>
        </w:rPr>
        <w:t>o</w:t>
      </w:r>
      <w:r w:rsidRPr="008E72F9">
        <w:rPr>
          <w:lang w:val="fr-FR"/>
        </w:rPr>
        <w:t xml:space="preserve"> 2 (déc.) n</w:t>
      </w:r>
      <w:r w:rsidR="00F334C1" w:rsidRPr="00F334C1">
        <w:rPr>
          <w:vertAlign w:val="superscript"/>
          <w:lang w:val="fr-FR"/>
        </w:rPr>
        <w:t>o</w:t>
      </w:r>
      <w:r w:rsidRPr="008E72F9">
        <w:rPr>
          <w:lang w:val="fr-FR"/>
        </w:rPr>
        <w:t xml:space="preserve"> 45791/99, 25 mars 2004; </w:t>
      </w:r>
      <w:r w:rsidRPr="008E72F9">
        <w:rPr>
          <w:i/>
          <w:iCs/>
          <w:lang w:val="fr-FR"/>
        </w:rPr>
        <w:t xml:space="preserve">Ben Salah Adraqui et autres c. Espagne </w:t>
      </w:r>
      <w:r w:rsidRPr="008E72F9">
        <w:rPr>
          <w:lang w:val="fr-FR"/>
        </w:rPr>
        <w:t>(déc.), n</w:t>
      </w:r>
      <w:r w:rsidR="00F334C1" w:rsidRPr="00F334C1">
        <w:rPr>
          <w:vertAlign w:val="superscript"/>
          <w:lang w:val="fr-FR"/>
        </w:rPr>
        <w:t>o</w:t>
      </w:r>
      <w:r w:rsidRPr="008E72F9">
        <w:rPr>
          <w:lang w:val="fr-FR"/>
        </w:rPr>
        <w:t xml:space="preserve"> 45023/98, 27 avril 2000).</w:t>
      </w:r>
    </w:p>
    <w:p w:rsidR="008E72F9" w:rsidRPr="008E72F9" w:rsidRDefault="008E72F9" w:rsidP="0019294A">
      <w:pPr>
        <w:pStyle w:val="ECHRHeading1"/>
        <w:rPr>
          <w:lang w:val="fr-FR"/>
        </w:rPr>
      </w:pPr>
      <w:r w:rsidRPr="008E72F9">
        <w:rPr>
          <w:lang w:val="fr-FR"/>
        </w:rPr>
        <w:t>III.  SUR LA VIOLATION ALLÉGUÉE DE L</w:t>
      </w:r>
      <w:r w:rsidR="00F334C1">
        <w:rPr>
          <w:lang w:val="fr-FR"/>
        </w:rPr>
        <w:t>’</w:t>
      </w:r>
      <w:r w:rsidRPr="008E72F9">
        <w:rPr>
          <w:lang w:val="fr-FR"/>
        </w:rPr>
        <w:t>ARTICLE 1 DU PROTOCOLE N</w:t>
      </w:r>
      <w:r w:rsidRPr="008E72F9">
        <w:rPr>
          <w:vertAlign w:val="superscript"/>
          <w:lang w:val="fr-FR"/>
        </w:rPr>
        <w:t>o </w:t>
      </w:r>
      <w:r w:rsidRPr="008E72F9">
        <w:rPr>
          <w:lang w:val="fr-FR"/>
        </w:rPr>
        <w:t>1</w:t>
      </w:r>
    </w:p>
    <w:p w:rsidR="008E72F9" w:rsidRPr="008E72F9" w:rsidRDefault="008E72F9" w:rsidP="0019294A">
      <w:pPr>
        <w:pStyle w:val="ECHRPara"/>
        <w:rPr>
          <w:rFonts w:eastAsia="Times New Roman"/>
          <w:lang w:val="fr-FR" w:eastAsia="fr-FR"/>
        </w:rPr>
      </w:pPr>
      <w:r w:rsidRPr="008E72F9">
        <w:rPr>
          <w:rFonts w:eastAsia="Times New Roman"/>
          <w:lang w:val="fr-FR" w:eastAsia="fr-FR"/>
        </w:rPr>
        <w:fldChar w:fldCharType="begin"/>
      </w:r>
      <w:r w:rsidRPr="008E72F9">
        <w:rPr>
          <w:rFonts w:eastAsia="Times New Roman"/>
          <w:lang w:val="fr-FR" w:eastAsia="fr-FR"/>
        </w:rPr>
        <w:instrText xml:space="preserve"> SEQ level0 \*arabic </w:instrText>
      </w:r>
      <w:r w:rsidRPr="008E72F9">
        <w:rPr>
          <w:rFonts w:eastAsia="Times New Roman"/>
          <w:lang w:val="fr-FR" w:eastAsia="fr-FR"/>
        </w:rPr>
        <w:fldChar w:fldCharType="separate"/>
      </w:r>
      <w:r w:rsidR="00062FB8">
        <w:rPr>
          <w:rFonts w:eastAsia="Times New Roman"/>
          <w:noProof/>
          <w:lang w:val="fr-FR" w:eastAsia="fr-FR"/>
        </w:rPr>
        <w:t>55</w:t>
      </w:r>
      <w:r w:rsidRPr="008E72F9">
        <w:rPr>
          <w:rFonts w:eastAsia="Times New Roman"/>
          <w:lang w:val="fr-FR" w:eastAsia="fr-FR"/>
        </w:rPr>
        <w:fldChar w:fldCharType="end"/>
      </w:r>
      <w:r w:rsidRPr="008E72F9">
        <w:rPr>
          <w:rFonts w:eastAsia="Times New Roman"/>
          <w:lang w:val="fr-FR" w:eastAsia="fr-FR"/>
        </w:rPr>
        <w:t xml:space="preserve">.  À titre préliminaire, le requérant demande à la Cour de ne pas verser au dossier la documentation communiquée par le Gouvernement après le </w:t>
      </w:r>
      <w:r w:rsidR="00723D67">
        <w:rPr>
          <w:rFonts w:eastAsia="Times New Roman"/>
          <w:lang w:val="fr-FR" w:eastAsia="fr-FR"/>
        </w:rPr>
        <w:br/>
      </w:r>
      <w:r w:rsidRPr="008E72F9">
        <w:rPr>
          <w:rFonts w:eastAsia="Times New Roman"/>
          <w:lang w:val="fr-FR" w:eastAsia="fr-FR"/>
        </w:rPr>
        <w:t>2 mai 2011, délai fixé pour le dépôt des observations.</w:t>
      </w:r>
    </w:p>
    <w:p w:rsidR="008E72F9" w:rsidRPr="008E72F9" w:rsidRDefault="008E72F9" w:rsidP="0019294A">
      <w:pPr>
        <w:pStyle w:val="ECHRPara"/>
        <w:rPr>
          <w:i/>
          <w:lang w:val="fr-FR"/>
        </w:rPr>
      </w:pPr>
      <w:r w:rsidRPr="008E72F9">
        <w:rPr>
          <w:rFonts w:eastAsia="Times New Roman"/>
          <w:lang w:val="fr-FR" w:eastAsia="fr-FR"/>
        </w:rPr>
        <w:fldChar w:fldCharType="begin"/>
      </w:r>
      <w:r w:rsidRPr="008E72F9">
        <w:rPr>
          <w:rFonts w:eastAsia="Times New Roman"/>
          <w:lang w:val="fr-FR" w:eastAsia="fr-FR"/>
        </w:rPr>
        <w:instrText xml:space="preserve"> SEQ level0 \*arabic </w:instrText>
      </w:r>
      <w:r w:rsidRPr="008E72F9">
        <w:rPr>
          <w:rFonts w:eastAsia="Times New Roman"/>
          <w:lang w:val="fr-FR" w:eastAsia="fr-FR"/>
        </w:rPr>
        <w:fldChar w:fldCharType="separate"/>
      </w:r>
      <w:r w:rsidR="00062FB8">
        <w:rPr>
          <w:rFonts w:eastAsia="Times New Roman"/>
          <w:noProof/>
          <w:lang w:val="fr-FR" w:eastAsia="fr-FR"/>
        </w:rPr>
        <w:t>56</w:t>
      </w:r>
      <w:r w:rsidRPr="008E72F9">
        <w:rPr>
          <w:rFonts w:eastAsia="Times New Roman"/>
          <w:lang w:val="fr-FR" w:eastAsia="fr-FR"/>
        </w:rPr>
        <w:fldChar w:fldCharType="end"/>
      </w:r>
      <w:r w:rsidRPr="008E72F9">
        <w:rPr>
          <w:rFonts w:eastAsia="Times New Roman"/>
          <w:lang w:val="fr-FR" w:eastAsia="fr-FR"/>
        </w:rPr>
        <w:t>.  Il y a lieu de noter que, suite aux observations de la partie requérante, reçues le 8 août 2011, le Gouvernement a été invité à soumettre avant le 7 octobre 2011 « ses observations concernant les demandes de satisfaction équitable de la partie requérante ainsi que toutes observations supplémentaires qu</w:t>
      </w:r>
      <w:r w:rsidR="00F334C1">
        <w:rPr>
          <w:rFonts w:eastAsia="Times New Roman"/>
          <w:lang w:val="fr-FR" w:eastAsia="fr-FR"/>
        </w:rPr>
        <w:t>’</w:t>
      </w:r>
      <w:r w:rsidRPr="008E72F9">
        <w:rPr>
          <w:rFonts w:eastAsia="Times New Roman"/>
          <w:lang w:val="fr-FR" w:eastAsia="fr-FR"/>
        </w:rPr>
        <w:t xml:space="preserve">il souhaiterait formuler ». Le Gouvernement a donc présenté ses observations et documents dans les délais impartis (voir </w:t>
      </w:r>
      <w:r w:rsidRPr="008E72F9">
        <w:rPr>
          <w:i/>
          <w:lang w:val="fr-FR"/>
        </w:rPr>
        <w:t>Todorova c. Italie</w:t>
      </w:r>
      <w:r w:rsidRPr="008E72F9">
        <w:rPr>
          <w:lang w:val="fr-FR"/>
        </w:rPr>
        <w:t>, n</w:t>
      </w:r>
      <w:r w:rsidRPr="008E72F9">
        <w:rPr>
          <w:vertAlign w:val="superscript"/>
          <w:lang w:val="fr-FR"/>
        </w:rPr>
        <w:t>o</w:t>
      </w:r>
      <w:r w:rsidRPr="008E72F9">
        <w:rPr>
          <w:lang w:val="fr-FR"/>
        </w:rPr>
        <w:t xml:space="preserve"> 33932/06, § 50, 13 janvier 2009)</w:t>
      </w:r>
      <w:r w:rsidRPr="008E72F9">
        <w:rPr>
          <w:rFonts w:eastAsia="Times New Roman"/>
          <w:lang w:val="fr-FR" w:eastAsia="fr-FR"/>
        </w:rPr>
        <w:t>.</w:t>
      </w:r>
    </w:p>
    <w:p w:rsidR="008E72F9" w:rsidRPr="008E72F9" w:rsidRDefault="008E72F9" w:rsidP="0019294A">
      <w:pPr>
        <w:pStyle w:val="ECHRPara"/>
        <w:rPr>
          <w:szCs w:val="24"/>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57</w:t>
      </w:r>
      <w:r w:rsidRPr="008E72F9">
        <w:rPr>
          <w:lang w:val="fr-FR"/>
        </w:rPr>
        <w:fldChar w:fldCharType="end"/>
      </w:r>
      <w:r w:rsidRPr="008E72F9">
        <w:rPr>
          <w:lang w:val="fr-FR"/>
        </w:rPr>
        <w:t xml:space="preserve">.  Le requérant se plaint </w:t>
      </w:r>
      <w:r w:rsidRPr="008E72F9">
        <w:rPr>
          <w:szCs w:val="24"/>
          <w:lang w:val="fr-FR"/>
        </w:rPr>
        <w:t>de la compensation intégrale de sa créance avec une partie de sa</w:t>
      </w:r>
      <w:r w:rsidR="008E5D44">
        <w:rPr>
          <w:szCs w:val="24"/>
          <w:lang w:val="fr-FR"/>
        </w:rPr>
        <w:t xml:space="preserve"> dette envers l</w:t>
      </w:r>
      <w:r w:rsidR="00F334C1">
        <w:rPr>
          <w:szCs w:val="24"/>
          <w:lang w:val="fr-FR"/>
        </w:rPr>
        <w:t>’</w:t>
      </w:r>
      <w:r w:rsidR="008E5D44">
        <w:rPr>
          <w:szCs w:val="24"/>
          <w:lang w:val="fr-FR"/>
        </w:rPr>
        <w:t>Administration.</w:t>
      </w:r>
    </w:p>
    <w:p w:rsidR="008E72F9" w:rsidRPr="008E72F9" w:rsidRDefault="008E72F9" w:rsidP="0019294A">
      <w:pPr>
        <w:pStyle w:val="ECHRPara"/>
        <w:rPr>
          <w:lang w:val="fr-FR"/>
        </w:rPr>
      </w:pPr>
      <w:r w:rsidRPr="008E72F9">
        <w:rPr>
          <w:lang w:val="fr-FR"/>
        </w:rPr>
        <w:t>Il invoque l</w:t>
      </w:r>
      <w:r w:rsidR="00F334C1">
        <w:rPr>
          <w:lang w:val="fr-FR"/>
        </w:rPr>
        <w:t>’</w:t>
      </w:r>
      <w:r w:rsidRPr="008E72F9">
        <w:rPr>
          <w:lang w:val="fr-FR"/>
        </w:rPr>
        <w:t>article 1 du Protocole n</w:t>
      </w:r>
      <w:r w:rsidRPr="008E72F9">
        <w:rPr>
          <w:vertAlign w:val="superscript"/>
          <w:lang w:val="fr-FR"/>
        </w:rPr>
        <w:t>o</w:t>
      </w:r>
      <w:r w:rsidRPr="008E72F9">
        <w:rPr>
          <w:lang w:val="fr-FR"/>
        </w:rPr>
        <w:t xml:space="preserve"> 1, lequel se lit comme suit :</w:t>
      </w:r>
    </w:p>
    <w:p w:rsidR="008E72F9" w:rsidRPr="008E72F9" w:rsidRDefault="008E72F9" w:rsidP="0019294A">
      <w:pPr>
        <w:pStyle w:val="ECHRParaQuote"/>
        <w:rPr>
          <w:lang w:val="fr-FR"/>
        </w:rPr>
      </w:pPr>
      <w:r w:rsidRPr="008E72F9">
        <w:rPr>
          <w:lang w:val="fr-FR"/>
        </w:rPr>
        <w:t xml:space="preserve"> « Toute personne physique ou morale a droit au respect de ses biens. Nul ne peut être privé de sa propriété que pour cause d</w:t>
      </w:r>
      <w:r w:rsidR="00F334C1">
        <w:rPr>
          <w:lang w:val="fr-FR"/>
        </w:rPr>
        <w:t>’</w:t>
      </w:r>
      <w:r w:rsidRPr="008E72F9">
        <w:rPr>
          <w:lang w:val="fr-FR"/>
        </w:rPr>
        <w:t>utilité publique et dans les conditions prévues par la loi et les principes généraux du droit international.</w:t>
      </w:r>
    </w:p>
    <w:p w:rsidR="008E72F9" w:rsidRPr="008E72F9" w:rsidRDefault="008E72F9" w:rsidP="00E83C4E">
      <w:pPr>
        <w:pStyle w:val="JuQuotSub"/>
        <w:rPr>
          <w:lang w:val="fr-FR"/>
        </w:rPr>
      </w:pPr>
      <w:r w:rsidRPr="008E72F9">
        <w:rPr>
          <w:lang w:val="fr-FR"/>
        </w:rPr>
        <w:t>Les dispositions précédentes ne portent pas atteinte au droit que possèdent les États de mettre en vigueur les lois qu</w:t>
      </w:r>
      <w:r w:rsidR="00F334C1">
        <w:rPr>
          <w:lang w:val="fr-FR"/>
        </w:rPr>
        <w:t>’</w:t>
      </w:r>
      <w:r w:rsidRPr="008E72F9">
        <w:rPr>
          <w:lang w:val="fr-FR"/>
        </w:rPr>
        <w:t>ils jugent nécessaires pour réglementer l</w:t>
      </w:r>
      <w:r w:rsidR="00F334C1">
        <w:rPr>
          <w:lang w:val="fr-FR"/>
        </w:rPr>
        <w:t>’</w:t>
      </w:r>
      <w:r w:rsidRPr="008E72F9">
        <w:rPr>
          <w:lang w:val="fr-FR"/>
        </w:rPr>
        <w:t>usage des biens conformément à l</w:t>
      </w:r>
      <w:r w:rsidR="00F334C1">
        <w:rPr>
          <w:lang w:val="fr-FR"/>
        </w:rPr>
        <w:t>’</w:t>
      </w:r>
      <w:r w:rsidRPr="008E72F9">
        <w:rPr>
          <w:lang w:val="fr-FR"/>
        </w:rPr>
        <w:t>intérêt général ou pour assurer le paiement des impôts ou d</w:t>
      </w:r>
      <w:r w:rsidR="00F334C1">
        <w:rPr>
          <w:lang w:val="fr-FR"/>
        </w:rPr>
        <w:t>’</w:t>
      </w:r>
      <w:r w:rsidRPr="008E72F9">
        <w:rPr>
          <w:lang w:val="fr-FR"/>
        </w:rPr>
        <w:t>autres contributions ou des amendes. »</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58</w:t>
      </w:r>
      <w:r w:rsidRPr="008E72F9">
        <w:rPr>
          <w:lang w:val="fr-FR"/>
        </w:rPr>
        <w:fldChar w:fldCharType="end"/>
      </w:r>
      <w:r w:rsidRPr="008E72F9">
        <w:rPr>
          <w:lang w:val="fr-FR"/>
        </w:rPr>
        <w:t xml:space="preserve">.  Le Gouvernement conteste </w:t>
      </w:r>
      <w:r w:rsidRPr="008E72F9">
        <w:rPr>
          <w:szCs w:val="24"/>
          <w:lang w:val="fr-FR"/>
        </w:rPr>
        <w:t>toute violation de cette disposition.</w:t>
      </w:r>
    </w:p>
    <w:p w:rsidR="008E72F9" w:rsidRPr="008E72F9" w:rsidRDefault="008E72F9" w:rsidP="0019294A">
      <w:pPr>
        <w:pStyle w:val="ECHRHeading2"/>
        <w:rPr>
          <w:lang w:val="fr-FR"/>
        </w:rPr>
      </w:pPr>
      <w:r w:rsidRPr="008E72F9">
        <w:rPr>
          <w:lang w:val="fr-FR"/>
        </w:rPr>
        <w:t>A.  Sur la recevabilité</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59</w:t>
      </w:r>
      <w:r w:rsidRPr="008E72F9">
        <w:rPr>
          <w:lang w:val="fr-FR"/>
        </w:rPr>
        <w:fldChar w:fldCharType="end"/>
      </w:r>
      <w:r w:rsidRPr="008E72F9">
        <w:rPr>
          <w:lang w:val="fr-FR"/>
        </w:rPr>
        <w:t>.  La Cour constate que ce grief n</w:t>
      </w:r>
      <w:r w:rsidR="00F334C1">
        <w:rPr>
          <w:lang w:val="fr-FR"/>
        </w:rPr>
        <w:t>’</w:t>
      </w:r>
      <w:r w:rsidRPr="008E72F9">
        <w:rPr>
          <w:lang w:val="fr-FR"/>
        </w:rPr>
        <w:t>est pas manifestement mal fondé au sens de l</w:t>
      </w:r>
      <w:r w:rsidR="00F334C1">
        <w:rPr>
          <w:lang w:val="fr-FR"/>
        </w:rPr>
        <w:t>’</w:t>
      </w:r>
      <w:r w:rsidRPr="008E72F9">
        <w:rPr>
          <w:lang w:val="fr-FR"/>
        </w:rPr>
        <w:t>article 35 § 3 de la Convention. La Cour relève par ailleurs qu</w:t>
      </w:r>
      <w:r w:rsidR="00F334C1">
        <w:rPr>
          <w:lang w:val="fr-FR"/>
        </w:rPr>
        <w:t>’</w:t>
      </w:r>
      <w:r w:rsidRPr="008E72F9">
        <w:rPr>
          <w:lang w:val="fr-FR"/>
        </w:rPr>
        <w:t>il ne se heurte à aucun autre motif d</w:t>
      </w:r>
      <w:r w:rsidR="00F334C1">
        <w:rPr>
          <w:lang w:val="fr-FR"/>
        </w:rPr>
        <w:t>’</w:t>
      </w:r>
      <w:r w:rsidRPr="008E72F9">
        <w:rPr>
          <w:lang w:val="fr-FR"/>
        </w:rPr>
        <w:t>irrecevabilité. Il convient donc de le déclarer recevable.</w:t>
      </w:r>
    </w:p>
    <w:p w:rsidR="008E72F9" w:rsidRPr="008E72F9" w:rsidRDefault="008E72F9" w:rsidP="0019294A">
      <w:pPr>
        <w:pStyle w:val="ECHRHeading2"/>
        <w:rPr>
          <w:lang w:val="fr-FR"/>
        </w:rPr>
      </w:pPr>
      <w:r w:rsidRPr="008E72F9">
        <w:rPr>
          <w:lang w:val="fr-FR"/>
        </w:rPr>
        <w:t>B.  Sur le fond</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60</w:t>
      </w:r>
      <w:r w:rsidRPr="008E72F9">
        <w:rPr>
          <w:lang w:val="fr-FR"/>
        </w:rPr>
        <w:fldChar w:fldCharType="end"/>
      </w:r>
      <w:r w:rsidRPr="008E72F9">
        <w:rPr>
          <w:lang w:val="fr-FR"/>
        </w:rPr>
        <w:t>.  Le requérant dénonce la compensation intégrale de sa créance comme étant particulièrement insupportable en raison de ses difficultés économiques, son âge et son état de santé délicat et précaire. Il maintient que les décisions contestées sont en contradiction avec une décision rendue par le juge administratif dans une affaire similaire l</w:t>
      </w:r>
      <w:r w:rsidR="00F334C1">
        <w:rPr>
          <w:lang w:val="fr-FR"/>
        </w:rPr>
        <w:t>’</w:t>
      </w:r>
      <w:r w:rsidRPr="008E72F9">
        <w:rPr>
          <w:lang w:val="fr-FR"/>
        </w:rPr>
        <w:t>opposant à l</w:t>
      </w:r>
      <w:r w:rsidR="00F334C1">
        <w:rPr>
          <w:lang w:val="fr-FR"/>
        </w:rPr>
        <w:t>’</w:t>
      </w:r>
      <w:r w:rsidRPr="008E72F9">
        <w:rPr>
          <w:lang w:val="fr-FR"/>
        </w:rPr>
        <w:t xml:space="preserve">Administration. Il dénonce de ce chef un </w:t>
      </w:r>
      <w:r w:rsidRPr="008E72F9">
        <w:rPr>
          <w:bCs/>
          <w:lang w:val="fr-FR"/>
        </w:rPr>
        <w:t xml:space="preserve">conflit </w:t>
      </w:r>
      <w:r w:rsidRPr="008E72F9">
        <w:rPr>
          <w:lang w:val="fr-FR"/>
        </w:rPr>
        <w:t xml:space="preserve">de </w:t>
      </w:r>
      <w:r w:rsidRPr="008E72F9">
        <w:rPr>
          <w:bCs/>
          <w:lang w:val="fr-FR"/>
        </w:rPr>
        <w:t>jurisprudence</w:t>
      </w:r>
      <w:r w:rsidRPr="008E72F9">
        <w:rPr>
          <w:lang w:val="fr-FR"/>
        </w:rPr>
        <w:t>.</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61</w:t>
      </w:r>
      <w:r w:rsidRPr="008E72F9">
        <w:rPr>
          <w:lang w:val="fr-FR"/>
        </w:rPr>
        <w:fldChar w:fldCharType="end"/>
      </w:r>
      <w:r w:rsidRPr="008E72F9">
        <w:rPr>
          <w:lang w:val="fr-FR"/>
        </w:rPr>
        <w:t>.  Le Gouvernement considère tout d</w:t>
      </w:r>
      <w:r w:rsidR="00F334C1">
        <w:rPr>
          <w:lang w:val="fr-FR"/>
        </w:rPr>
        <w:t>’</w:t>
      </w:r>
      <w:r w:rsidRPr="008E72F9">
        <w:rPr>
          <w:lang w:val="fr-FR"/>
        </w:rPr>
        <w:t>abord qu</w:t>
      </w:r>
      <w:r w:rsidR="00F334C1">
        <w:rPr>
          <w:lang w:val="fr-FR"/>
        </w:rPr>
        <w:t>’</w:t>
      </w:r>
      <w:r w:rsidRPr="008E72F9">
        <w:rPr>
          <w:lang w:val="fr-FR"/>
        </w:rPr>
        <w:t>en cas d</w:t>
      </w:r>
      <w:r w:rsidR="00F334C1">
        <w:rPr>
          <w:lang w:val="fr-FR"/>
        </w:rPr>
        <w:t>’</w:t>
      </w:r>
      <w:r w:rsidRPr="008E72F9">
        <w:rPr>
          <w:lang w:val="fr-FR"/>
        </w:rPr>
        <w:t>arriérés de salaire, la limite de la saisie à un cinquième du montant global n</w:t>
      </w:r>
      <w:r w:rsidR="00F334C1">
        <w:rPr>
          <w:lang w:val="fr-FR"/>
        </w:rPr>
        <w:t>’</w:t>
      </w:r>
      <w:r w:rsidRPr="008E72F9">
        <w:rPr>
          <w:lang w:val="fr-FR"/>
        </w:rPr>
        <w:t>est pas applicable. La raison de cette limite repose sur la nécessité de laisser au saisi le minimum vital, ce qui n</w:t>
      </w:r>
      <w:r w:rsidR="00F334C1">
        <w:rPr>
          <w:lang w:val="fr-FR"/>
        </w:rPr>
        <w:t>’</w:t>
      </w:r>
      <w:r w:rsidRPr="008E72F9">
        <w:rPr>
          <w:lang w:val="fr-FR"/>
        </w:rPr>
        <w:t>est pas le cas dans la présente affaire. En deuxième lieu, le Gouvernement observe qu</w:t>
      </w:r>
      <w:r w:rsidR="00F334C1">
        <w:rPr>
          <w:lang w:val="fr-FR"/>
        </w:rPr>
        <w:t>’</w:t>
      </w:r>
      <w:r w:rsidRPr="008E72F9">
        <w:rPr>
          <w:lang w:val="fr-FR"/>
        </w:rPr>
        <w:t>il ne s</w:t>
      </w:r>
      <w:r w:rsidR="00F334C1">
        <w:rPr>
          <w:lang w:val="fr-FR"/>
        </w:rPr>
        <w:t>’</w:t>
      </w:r>
      <w:r w:rsidRPr="008E72F9">
        <w:rPr>
          <w:lang w:val="fr-FR"/>
        </w:rPr>
        <w:t>agit pas d</w:t>
      </w:r>
      <w:r w:rsidR="00F334C1">
        <w:rPr>
          <w:lang w:val="fr-FR"/>
        </w:rPr>
        <w:t>’</w:t>
      </w:r>
      <w:r w:rsidRPr="008E72F9">
        <w:rPr>
          <w:lang w:val="fr-FR"/>
        </w:rPr>
        <w:t>un cas de compensation, au sens propre, mais d</w:t>
      </w:r>
      <w:r w:rsidR="00F334C1">
        <w:rPr>
          <w:lang w:val="fr-FR"/>
        </w:rPr>
        <w:t>’</w:t>
      </w:r>
      <w:r w:rsidRPr="008E72F9">
        <w:rPr>
          <w:lang w:val="fr-FR"/>
        </w:rPr>
        <w:t>une simple vérification comptable dite compensation « a-technique », tel qu</w:t>
      </w:r>
      <w:r w:rsidR="00F334C1">
        <w:rPr>
          <w:lang w:val="fr-FR"/>
        </w:rPr>
        <w:t>’</w:t>
      </w:r>
      <w:r w:rsidRPr="008E72F9">
        <w:rPr>
          <w:lang w:val="fr-FR"/>
        </w:rPr>
        <w:t>élaborée par une jurisprudence bien établie. À cet égard, lorsque les positions respectives de crédit et de débit trouvent leur origine dans le même rapport, il est admis de procéder à une simple opération c</w:t>
      </w:r>
      <w:r w:rsidR="008E5D44">
        <w:rPr>
          <w:lang w:val="fr-FR"/>
        </w:rPr>
        <w:t>omptable jusqu</w:t>
      </w:r>
      <w:r w:rsidR="00F334C1">
        <w:rPr>
          <w:lang w:val="fr-FR"/>
        </w:rPr>
        <w:t>’</w:t>
      </w:r>
      <w:r w:rsidR="008E5D44">
        <w:rPr>
          <w:lang w:val="fr-FR"/>
        </w:rPr>
        <w:t>à compensation.</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62</w:t>
      </w:r>
      <w:r w:rsidRPr="008E72F9">
        <w:rPr>
          <w:lang w:val="fr-FR"/>
        </w:rPr>
        <w:fldChar w:fldCharType="end"/>
      </w:r>
      <w:r w:rsidRPr="008E72F9">
        <w:rPr>
          <w:lang w:val="fr-FR"/>
        </w:rPr>
        <w:t>.  La Cour observe que l</w:t>
      </w:r>
      <w:r w:rsidR="00F334C1">
        <w:rPr>
          <w:lang w:val="fr-FR"/>
        </w:rPr>
        <w:t>’</w:t>
      </w:r>
      <w:r w:rsidRPr="008E72F9">
        <w:rPr>
          <w:lang w:val="fr-FR"/>
        </w:rPr>
        <w:t>article 1 du Protocole n</w:t>
      </w:r>
      <w:r w:rsidR="00F334C1" w:rsidRPr="00F334C1">
        <w:rPr>
          <w:vertAlign w:val="superscript"/>
          <w:lang w:val="fr-FR"/>
        </w:rPr>
        <w:t>o</w:t>
      </w:r>
      <w:r w:rsidRPr="008E72F9">
        <w:rPr>
          <w:lang w:val="fr-FR"/>
        </w:rPr>
        <w:t xml:space="preserve"> 1 </w:t>
      </w:r>
      <w:r w:rsidRPr="008E72F9">
        <w:rPr>
          <w:rFonts w:eastAsia="Times New Roman"/>
          <w:lang w:val="fr-FR"/>
        </w:rPr>
        <w:t xml:space="preserve">garantit en substance le droit de propriété. Toute atteinte à ce droit doit être conforme au principe de légalité et poursuivre un but légitime par des moyens raisonnablement proportionnés à celui-ci (pour un rappel des principes pertinents voir, par exemple, </w:t>
      </w:r>
      <w:r w:rsidRPr="008E72F9">
        <w:rPr>
          <w:i/>
          <w:lang w:val="fr-FR"/>
        </w:rPr>
        <w:t>Metalco Bt. c. Hongrie</w:t>
      </w:r>
      <w:r w:rsidRPr="008E72F9">
        <w:rPr>
          <w:rFonts w:eastAsia="Times New Roman"/>
          <w:lang w:val="fr-FR"/>
        </w:rPr>
        <w:t>, n</w:t>
      </w:r>
      <w:r w:rsidR="00F334C1" w:rsidRPr="00F334C1">
        <w:rPr>
          <w:vertAlign w:val="superscript"/>
          <w:lang w:val="fr-FR"/>
        </w:rPr>
        <w:t>o</w:t>
      </w:r>
      <w:r w:rsidRPr="008E72F9">
        <w:rPr>
          <w:lang w:val="fr-FR"/>
        </w:rPr>
        <w:t xml:space="preserve"> 34976/05</w:t>
      </w:r>
      <w:r w:rsidRPr="008E72F9">
        <w:rPr>
          <w:rFonts w:eastAsia="Times New Roman"/>
          <w:lang w:val="fr-FR"/>
        </w:rPr>
        <w:t xml:space="preserve">, § 16, </w:t>
      </w:r>
      <w:r w:rsidR="00723D67">
        <w:rPr>
          <w:rFonts w:eastAsia="Times New Roman"/>
          <w:lang w:val="fr-FR"/>
        </w:rPr>
        <w:br/>
      </w:r>
      <w:r w:rsidRPr="008E72F9">
        <w:rPr>
          <w:rFonts w:eastAsia="Times New Roman"/>
          <w:lang w:val="fr-FR"/>
        </w:rPr>
        <w:t>1</w:t>
      </w:r>
      <w:r w:rsidRPr="008E72F9">
        <w:rPr>
          <w:vertAlign w:val="superscript"/>
          <w:lang w:val="fr-FR"/>
        </w:rPr>
        <w:t>er</w:t>
      </w:r>
      <w:r w:rsidRPr="008E72F9">
        <w:rPr>
          <w:rFonts w:eastAsia="Times New Roman"/>
          <w:lang w:val="fr-FR"/>
        </w:rPr>
        <w:t xml:space="preserve"> février 2011, avec d</w:t>
      </w:r>
      <w:r w:rsidR="00F334C1">
        <w:rPr>
          <w:rFonts w:eastAsia="Times New Roman"/>
          <w:lang w:val="fr-FR"/>
        </w:rPr>
        <w:t>’</w:t>
      </w:r>
      <w:r w:rsidRPr="008E72F9">
        <w:rPr>
          <w:rFonts w:eastAsia="Times New Roman"/>
          <w:lang w:val="fr-FR"/>
        </w:rPr>
        <w:t>autres références).</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63</w:t>
      </w:r>
      <w:r w:rsidRPr="008E72F9">
        <w:rPr>
          <w:rFonts w:eastAsia="Times New Roman"/>
          <w:lang w:val="fr-FR"/>
        </w:rPr>
        <w:fldChar w:fldCharType="end"/>
      </w:r>
      <w:r w:rsidRPr="008E72F9">
        <w:rPr>
          <w:rFonts w:eastAsia="Times New Roman"/>
          <w:lang w:val="fr-FR"/>
        </w:rPr>
        <w:t>.  Une mesure d</w:t>
      </w:r>
      <w:r w:rsidR="00F334C1">
        <w:rPr>
          <w:rFonts w:eastAsia="Times New Roman"/>
          <w:lang w:val="fr-FR"/>
        </w:rPr>
        <w:t>’</w:t>
      </w:r>
      <w:r w:rsidRPr="008E72F9">
        <w:rPr>
          <w:rFonts w:eastAsia="Times New Roman"/>
          <w:lang w:val="fr-FR"/>
        </w:rPr>
        <w:t>ingérence dans le droit au respect des biens doit ménager un « juste équilibre » entre les exigences de l</w:t>
      </w:r>
      <w:r w:rsidR="00F334C1">
        <w:rPr>
          <w:rFonts w:eastAsia="Times New Roman"/>
          <w:lang w:val="fr-FR"/>
        </w:rPr>
        <w:t>’</w:t>
      </w:r>
      <w:r w:rsidRPr="008E72F9">
        <w:rPr>
          <w:rFonts w:eastAsia="Times New Roman"/>
          <w:lang w:val="fr-FR"/>
        </w:rPr>
        <w:t>intérêt général de la communauté et les impératifs de la sauvegarde des droits fondamentaux de l</w:t>
      </w:r>
      <w:r w:rsidR="00F334C1">
        <w:rPr>
          <w:rFonts w:eastAsia="Times New Roman"/>
          <w:lang w:val="fr-FR"/>
        </w:rPr>
        <w:t>’</w:t>
      </w:r>
      <w:r w:rsidRPr="008E72F9">
        <w:rPr>
          <w:rFonts w:eastAsia="Times New Roman"/>
          <w:lang w:val="fr-FR"/>
        </w:rPr>
        <w:t>individu (voir, parmi d</w:t>
      </w:r>
      <w:r w:rsidR="00F334C1">
        <w:rPr>
          <w:rFonts w:eastAsia="Times New Roman"/>
          <w:lang w:val="fr-FR"/>
        </w:rPr>
        <w:t>’</w:t>
      </w:r>
      <w:r w:rsidRPr="008E72F9">
        <w:rPr>
          <w:rFonts w:eastAsia="Times New Roman"/>
          <w:lang w:val="fr-FR"/>
        </w:rPr>
        <w:t>autres</w:t>
      </w:r>
      <w:r w:rsidRPr="008E72F9">
        <w:rPr>
          <w:lang w:val="fr-FR"/>
        </w:rPr>
        <w:t>,</w:t>
      </w:r>
      <w:r w:rsidRPr="008E72F9">
        <w:rPr>
          <w:i/>
          <w:lang w:val="fr-FR"/>
        </w:rPr>
        <w:t xml:space="preserve"> </w:t>
      </w:r>
      <w:r w:rsidRPr="008E72F9">
        <w:rPr>
          <w:rFonts w:ascii="Times New Roman" w:hAnsi="Times New Roman"/>
          <w:i/>
          <w:lang w:val="fr-FR" w:eastAsia="fr-FR"/>
        </w:rPr>
        <w:t>Sporrong et Lönnroth c. Suède</w:t>
      </w:r>
      <w:r w:rsidRPr="008E72F9">
        <w:rPr>
          <w:rFonts w:ascii="Times New Roman" w:hAnsi="Times New Roman"/>
          <w:lang w:val="fr-FR" w:eastAsia="fr-FR"/>
        </w:rPr>
        <w:t xml:space="preserve">, </w:t>
      </w:r>
      <w:r w:rsidR="00723D67">
        <w:rPr>
          <w:rFonts w:ascii="Times New Roman" w:hAnsi="Times New Roman"/>
          <w:lang w:val="fr-FR" w:eastAsia="fr-FR"/>
        </w:rPr>
        <w:br/>
      </w:r>
      <w:r w:rsidRPr="008E72F9">
        <w:rPr>
          <w:rFonts w:ascii="Times New Roman" w:hAnsi="Times New Roman"/>
          <w:lang w:val="fr-FR" w:eastAsia="fr-FR"/>
        </w:rPr>
        <w:t>23 septembre 1982, §</w:t>
      </w:r>
      <w:r w:rsidRPr="008E72F9">
        <w:rPr>
          <w:lang w:val="fr-FR"/>
        </w:rPr>
        <w:t xml:space="preserve"> 69</w:t>
      </w:r>
      <w:r w:rsidRPr="008E72F9">
        <w:rPr>
          <w:rFonts w:ascii="Times New Roman" w:hAnsi="Times New Roman"/>
          <w:lang w:val="fr-FR" w:eastAsia="fr-FR"/>
        </w:rPr>
        <w:t>, série A n</w:t>
      </w:r>
      <w:r w:rsidRPr="008E72F9">
        <w:rPr>
          <w:rFonts w:ascii="Times New Roman" w:hAnsi="Times New Roman"/>
          <w:vertAlign w:val="superscript"/>
          <w:lang w:val="fr-FR" w:eastAsia="fr-FR"/>
        </w:rPr>
        <w:t>o</w:t>
      </w:r>
      <w:r w:rsidRPr="008E72F9">
        <w:rPr>
          <w:rFonts w:ascii="Times New Roman" w:hAnsi="Times New Roman"/>
          <w:lang w:val="fr-FR" w:eastAsia="fr-FR"/>
        </w:rPr>
        <w:t xml:space="preserve"> 52</w:t>
      </w:r>
      <w:r w:rsidRPr="008E72F9">
        <w:rPr>
          <w:rFonts w:eastAsia="Times New Roman"/>
          <w:lang w:val="fr-FR"/>
        </w:rPr>
        <w:t>). Le souci d</w:t>
      </w:r>
      <w:r w:rsidR="00F334C1">
        <w:rPr>
          <w:rFonts w:eastAsia="Times New Roman"/>
          <w:lang w:val="fr-FR"/>
        </w:rPr>
        <w:t>’</w:t>
      </w:r>
      <w:r w:rsidRPr="008E72F9">
        <w:rPr>
          <w:rFonts w:eastAsia="Times New Roman"/>
          <w:lang w:val="fr-FR"/>
        </w:rPr>
        <w:t>assurer un tel équilibre se reflète dans la structure de l</w:t>
      </w:r>
      <w:r w:rsidR="00F334C1">
        <w:rPr>
          <w:rFonts w:eastAsia="Times New Roman"/>
          <w:lang w:val="fr-FR"/>
        </w:rPr>
        <w:t>’</w:t>
      </w:r>
      <w:r w:rsidRPr="008E72F9">
        <w:rPr>
          <w:rFonts w:eastAsia="Times New Roman"/>
          <w:lang w:val="fr-FR"/>
        </w:rPr>
        <w:t>article 1 du Protocole n</w:t>
      </w:r>
      <w:r w:rsidR="00F334C1" w:rsidRPr="00F334C1">
        <w:rPr>
          <w:vertAlign w:val="superscript"/>
          <w:lang w:val="fr-FR"/>
        </w:rPr>
        <w:t>o</w:t>
      </w:r>
      <w:r w:rsidRPr="008E72F9">
        <w:rPr>
          <w:rFonts w:eastAsia="Times New Roman"/>
          <w:lang w:val="fr-FR"/>
        </w:rPr>
        <w:t xml:space="preserve"> 1 tout entier, donc aussi dans la seconde phrase, qui doit se lire à la lumière du principe consacré par la première. En particulier, il doit exister un rapport raisonnable de proportionnalité entre les moyens employés et le but visé par toute mesure appliquée par l</w:t>
      </w:r>
      <w:r w:rsidR="00F334C1">
        <w:rPr>
          <w:rFonts w:eastAsia="Times New Roman"/>
          <w:lang w:val="fr-FR"/>
        </w:rPr>
        <w:t>’</w:t>
      </w:r>
      <w:r w:rsidRPr="008E72F9">
        <w:rPr>
          <w:lang w:val="fr-FR"/>
        </w:rPr>
        <w:t>État</w:t>
      </w:r>
      <w:r w:rsidRPr="008E72F9">
        <w:rPr>
          <w:rFonts w:eastAsia="Times New Roman"/>
          <w:lang w:val="fr-FR"/>
        </w:rPr>
        <w:t>, y compris les mesures privant une personne de sa propriété (voir, parmi d</w:t>
      </w:r>
      <w:r w:rsidR="00F334C1">
        <w:rPr>
          <w:rFonts w:eastAsia="Times New Roman"/>
          <w:lang w:val="fr-FR"/>
        </w:rPr>
        <w:t>’</w:t>
      </w:r>
      <w:r w:rsidRPr="008E72F9">
        <w:rPr>
          <w:rFonts w:eastAsia="Times New Roman"/>
          <w:lang w:val="fr-FR"/>
        </w:rPr>
        <w:t xml:space="preserve">autres, </w:t>
      </w:r>
      <w:r w:rsidRPr="008E72F9">
        <w:rPr>
          <w:i/>
          <w:lang w:val="fr-FR"/>
        </w:rPr>
        <w:t>Pressos Compania Naviera S.A. et autres c. Belgique</w:t>
      </w:r>
      <w:r w:rsidRPr="008E72F9">
        <w:rPr>
          <w:rFonts w:eastAsia="Times New Roman"/>
          <w:lang w:val="fr-FR"/>
        </w:rPr>
        <w:t>, 20 novembre 1995, § 38, série A n</w:t>
      </w:r>
      <w:r w:rsidRPr="008E72F9">
        <w:rPr>
          <w:lang w:val="fr-FR"/>
        </w:rPr>
        <w:t>o</w:t>
      </w:r>
      <w:r w:rsidRPr="008E72F9">
        <w:rPr>
          <w:rFonts w:eastAsia="Times New Roman"/>
          <w:lang w:val="fr-FR"/>
        </w:rPr>
        <w:t xml:space="preserve"> 332 ; </w:t>
      </w:r>
      <w:r w:rsidRPr="008E72F9">
        <w:rPr>
          <w:i/>
          <w:lang w:val="fr-FR"/>
        </w:rPr>
        <w:t>Ex-roi de Grèce et autres c. Grèce</w:t>
      </w:r>
      <w:r w:rsidRPr="008E72F9">
        <w:rPr>
          <w:rFonts w:eastAsia="Times New Roman"/>
          <w:lang w:val="fr-FR"/>
        </w:rPr>
        <w:t xml:space="preserve"> [GC], n</w:t>
      </w:r>
      <w:r w:rsidR="00F334C1" w:rsidRPr="00F334C1">
        <w:rPr>
          <w:vertAlign w:val="superscript"/>
          <w:lang w:val="fr-FR"/>
        </w:rPr>
        <w:t>o</w:t>
      </w:r>
      <w:r w:rsidRPr="008E72F9">
        <w:rPr>
          <w:lang w:val="fr-FR"/>
        </w:rPr>
        <w:t xml:space="preserve"> 25701/94</w:t>
      </w:r>
      <w:r w:rsidRPr="008E72F9">
        <w:rPr>
          <w:rFonts w:eastAsia="Times New Roman"/>
          <w:lang w:val="fr-FR"/>
        </w:rPr>
        <w:t xml:space="preserve">, § 89-90, CEDH 2000-XII ; </w:t>
      </w:r>
      <w:r w:rsidRPr="008E72F9">
        <w:rPr>
          <w:i/>
          <w:lang w:val="fr-FR"/>
        </w:rPr>
        <w:t>Sporrong et Lönnroth</w:t>
      </w:r>
      <w:r w:rsidRPr="008E72F9">
        <w:rPr>
          <w:rFonts w:eastAsia="Times New Roman"/>
          <w:lang w:val="fr-FR"/>
        </w:rPr>
        <w:t xml:space="preserve">, précité, § </w:t>
      </w:r>
      <w:r w:rsidRPr="008E72F9">
        <w:rPr>
          <w:lang w:val="fr-FR"/>
        </w:rPr>
        <w:t>73</w:t>
      </w:r>
      <w:r w:rsidRPr="008E72F9">
        <w:rPr>
          <w:rFonts w:eastAsia="Times New Roman"/>
          <w:lang w:val="fr-FR"/>
        </w:rPr>
        <w:t>).</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64</w:t>
      </w:r>
      <w:r w:rsidRPr="008E72F9">
        <w:rPr>
          <w:rFonts w:eastAsia="Times New Roman"/>
          <w:lang w:val="fr-FR"/>
        </w:rPr>
        <w:fldChar w:fldCharType="end"/>
      </w:r>
      <w:r w:rsidRPr="008E72F9">
        <w:rPr>
          <w:rFonts w:eastAsia="Times New Roman"/>
          <w:lang w:val="fr-FR"/>
        </w:rPr>
        <w:t>.  En l</w:t>
      </w:r>
      <w:r w:rsidR="00F334C1">
        <w:rPr>
          <w:rFonts w:eastAsia="Times New Roman"/>
          <w:lang w:val="fr-FR"/>
        </w:rPr>
        <w:t>’</w:t>
      </w:r>
      <w:r w:rsidRPr="008E72F9">
        <w:rPr>
          <w:rFonts w:eastAsia="Times New Roman"/>
          <w:lang w:val="fr-FR"/>
        </w:rPr>
        <w:t xml:space="preserve">espèce, le requérant </w:t>
      </w:r>
      <w:r w:rsidRPr="008E72F9">
        <w:rPr>
          <w:lang w:val="fr-FR"/>
        </w:rPr>
        <w:t>s</w:t>
      </w:r>
      <w:r w:rsidR="00F334C1">
        <w:rPr>
          <w:lang w:val="fr-FR"/>
        </w:rPr>
        <w:t>’</w:t>
      </w:r>
      <w:r w:rsidRPr="008E72F9">
        <w:rPr>
          <w:lang w:val="fr-FR"/>
        </w:rPr>
        <w:t>est vu reconnaître, par un jugement du TAR du Frioul du 23 mars 2001, une créance pour arriérés de salaire. Par la suite, la compensation intégrale entre cette créance et sa dette envers l</w:t>
      </w:r>
      <w:r w:rsidR="00F334C1">
        <w:rPr>
          <w:lang w:val="fr-FR"/>
        </w:rPr>
        <w:t>’</w:t>
      </w:r>
      <w:r w:rsidRPr="008E72F9">
        <w:rPr>
          <w:lang w:val="fr-FR"/>
        </w:rPr>
        <w:t>Administration militaire a été validée par les juges administratifs, en dernier l</w:t>
      </w:r>
      <w:r w:rsidR="00F334C1">
        <w:rPr>
          <w:lang w:val="fr-FR"/>
        </w:rPr>
        <w:t>’</w:t>
      </w:r>
      <w:r w:rsidRPr="008E72F9">
        <w:rPr>
          <w:lang w:val="fr-FR"/>
        </w:rPr>
        <w:t>arrêt du Conseil d</w:t>
      </w:r>
      <w:r w:rsidR="00F334C1">
        <w:rPr>
          <w:lang w:val="fr-FR"/>
        </w:rPr>
        <w:t>’</w:t>
      </w:r>
      <w:r w:rsidRPr="008E72F9">
        <w:rPr>
          <w:lang w:val="fr-FR"/>
        </w:rPr>
        <w:t>État du 17 avril 2009.</w:t>
      </w:r>
      <w:r w:rsidRPr="008E72F9">
        <w:rPr>
          <w:rFonts w:eastAsia="Times New Roman"/>
          <w:lang w:val="fr-FR"/>
        </w:rPr>
        <w:t xml:space="preserve"> Il y a donc</w:t>
      </w:r>
      <w:r w:rsidRPr="008E72F9">
        <w:rPr>
          <w:lang w:val="fr-FR"/>
        </w:rPr>
        <w:t xml:space="preserve"> eu</w:t>
      </w:r>
      <w:r w:rsidRPr="008E72F9">
        <w:rPr>
          <w:rFonts w:eastAsia="Times New Roman"/>
          <w:lang w:val="fr-FR"/>
        </w:rPr>
        <w:t xml:space="preserve"> une ingérence au droit de l</w:t>
      </w:r>
      <w:r w:rsidR="00F334C1">
        <w:rPr>
          <w:rFonts w:eastAsia="Times New Roman"/>
          <w:lang w:val="fr-FR"/>
        </w:rPr>
        <w:t>’</w:t>
      </w:r>
      <w:r w:rsidRPr="008E72F9">
        <w:rPr>
          <w:rFonts w:eastAsia="Times New Roman"/>
          <w:lang w:val="fr-FR"/>
        </w:rPr>
        <w:t>intéressé au respect de ses biens au regard de l</w:t>
      </w:r>
      <w:r w:rsidR="00F334C1">
        <w:rPr>
          <w:rFonts w:eastAsia="Times New Roman"/>
          <w:lang w:val="fr-FR"/>
        </w:rPr>
        <w:t>’</w:t>
      </w:r>
      <w:r w:rsidRPr="008E72F9">
        <w:rPr>
          <w:rFonts w:eastAsia="Times New Roman"/>
          <w:lang w:val="fr-FR"/>
        </w:rPr>
        <w:t>article 1 du Protocole n</w:t>
      </w:r>
      <w:r w:rsidR="00F334C1" w:rsidRPr="00F334C1">
        <w:rPr>
          <w:vertAlign w:val="superscript"/>
          <w:lang w:val="fr-FR"/>
        </w:rPr>
        <w:t>o</w:t>
      </w:r>
      <w:r w:rsidRPr="008E72F9">
        <w:rPr>
          <w:rFonts w:eastAsia="Times New Roman"/>
          <w:lang w:val="fr-FR"/>
        </w:rPr>
        <w:t xml:space="preserve"> 1 (</w:t>
      </w:r>
      <w:r w:rsidRPr="008E72F9">
        <w:rPr>
          <w:i/>
          <w:lang w:val="fr-FR"/>
        </w:rPr>
        <w:t>Bourdov c. Russie</w:t>
      </w:r>
      <w:r w:rsidRPr="008E72F9">
        <w:rPr>
          <w:lang w:val="fr-FR"/>
        </w:rPr>
        <w:t>, n</w:t>
      </w:r>
      <w:r w:rsidRPr="008E72F9">
        <w:rPr>
          <w:vertAlign w:val="superscript"/>
          <w:lang w:val="fr-FR"/>
        </w:rPr>
        <w:t>o</w:t>
      </w:r>
      <w:r w:rsidRPr="008E72F9">
        <w:rPr>
          <w:lang w:val="fr-FR"/>
        </w:rPr>
        <w:t xml:space="preserve"> 59498/00, § 40, CEDH 2002</w:t>
      </w:r>
      <w:r w:rsidRPr="008E72F9">
        <w:rPr>
          <w:lang w:val="fr-FR"/>
        </w:rPr>
        <w:noBreakHyphen/>
        <w:t>III)</w:t>
      </w:r>
      <w:r w:rsidRPr="008E72F9">
        <w:rPr>
          <w:rFonts w:eastAsia="Times New Roman"/>
          <w:lang w:val="fr-FR"/>
        </w:rPr>
        <w:t>.</w:t>
      </w:r>
    </w:p>
    <w:p w:rsidR="00F334C1"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65</w:t>
      </w:r>
      <w:r w:rsidRPr="008E72F9">
        <w:rPr>
          <w:lang w:val="fr-FR"/>
        </w:rPr>
        <w:fldChar w:fldCharType="end"/>
      </w:r>
      <w:r w:rsidRPr="008E72F9">
        <w:rPr>
          <w:lang w:val="fr-FR"/>
        </w:rPr>
        <w:t>.  Les juges internes ont fondé leur décision de compensation intégrale sur une jurisprudence bien établie de la Cour de cassation qui a développé une interprétation consolidée de l</w:t>
      </w:r>
      <w:r w:rsidR="00F334C1">
        <w:rPr>
          <w:lang w:val="fr-FR"/>
        </w:rPr>
        <w:t>’</w:t>
      </w:r>
      <w:r w:rsidRPr="008E72F9">
        <w:rPr>
          <w:lang w:val="fr-FR"/>
        </w:rPr>
        <w:t>article 1241 du code civil selon laquelle il existe une distinction entre la compensation technique (à laquelle s</w:t>
      </w:r>
      <w:r w:rsidR="00F334C1">
        <w:rPr>
          <w:lang w:val="fr-FR"/>
        </w:rPr>
        <w:t>’</w:t>
      </w:r>
      <w:r w:rsidRPr="008E72F9">
        <w:rPr>
          <w:lang w:val="fr-FR"/>
        </w:rPr>
        <w:t>applique la limite de saisie du cinquième des salaires et pensions aux sens de l</w:t>
      </w:r>
      <w:r w:rsidR="00F334C1">
        <w:rPr>
          <w:lang w:val="fr-FR"/>
        </w:rPr>
        <w:t>’</w:t>
      </w:r>
      <w:r w:rsidRPr="008E72F9">
        <w:rPr>
          <w:lang w:val="fr-FR"/>
        </w:rPr>
        <w:t>article 1246, alinéa 1, n</w:t>
      </w:r>
      <w:r w:rsidR="00F334C1" w:rsidRPr="00F334C1">
        <w:rPr>
          <w:vertAlign w:val="superscript"/>
          <w:lang w:val="fr-FR"/>
        </w:rPr>
        <w:t>o</w:t>
      </w:r>
      <w:r w:rsidRPr="008E72F9">
        <w:rPr>
          <w:lang w:val="fr-FR"/>
        </w:rPr>
        <w:t>3 du code civil) et celle dite a-technique.</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66</w:t>
      </w:r>
      <w:r w:rsidRPr="008E72F9">
        <w:rPr>
          <w:lang w:val="fr-FR"/>
        </w:rPr>
        <w:fldChar w:fldCharType="end"/>
      </w:r>
      <w:r w:rsidRPr="008E72F9">
        <w:rPr>
          <w:lang w:val="fr-FR"/>
        </w:rPr>
        <w:t>.  Cette interprétation a été validée par l</w:t>
      </w:r>
      <w:r w:rsidR="00F334C1">
        <w:rPr>
          <w:lang w:val="fr-FR"/>
        </w:rPr>
        <w:t>’</w:t>
      </w:r>
      <w:r w:rsidRPr="008E72F9">
        <w:rPr>
          <w:lang w:val="fr-FR"/>
        </w:rPr>
        <w:t>arrêt de la Cour Constitutionnelle n</w:t>
      </w:r>
      <w:r w:rsidR="00F334C1" w:rsidRPr="00F334C1">
        <w:rPr>
          <w:vertAlign w:val="superscript"/>
          <w:lang w:val="fr-FR"/>
        </w:rPr>
        <w:t>o</w:t>
      </w:r>
      <w:r w:rsidRPr="008E72F9">
        <w:rPr>
          <w:lang w:val="fr-FR"/>
        </w:rPr>
        <w:t xml:space="preserve"> 259/2006. Dans cet arrêt, la Cour Constitutionnelle a statué qu</w:t>
      </w:r>
      <w:r w:rsidR="00F334C1">
        <w:rPr>
          <w:lang w:val="fr-FR"/>
        </w:rPr>
        <w:t>’</w:t>
      </w:r>
      <w:r w:rsidRPr="008E72F9">
        <w:rPr>
          <w:lang w:val="fr-FR"/>
        </w:rPr>
        <w:t>en cas de compensation « a-technique » la limite de saisie du cinquième n</w:t>
      </w:r>
      <w:r w:rsidR="00F334C1">
        <w:rPr>
          <w:lang w:val="fr-FR"/>
        </w:rPr>
        <w:t>’</w:t>
      </w:r>
      <w:r w:rsidRPr="008E72F9">
        <w:rPr>
          <w:lang w:val="fr-FR"/>
        </w:rPr>
        <w:t>a pas à s</w:t>
      </w:r>
      <w:r w:rsidR="00F334C1">
        <w:rPr>
          <w:lang w:val="fr-FR"/>
        </w:rPr>
        <w:t>’</w:t>
      </w:r>
      <w:r w:rsidRPr="008E72F9">
        <w:rPr>
          <w:lang w:val="fr-FR"/>
        </w:rPr>
        <w:t>appliquer. Les critères pour ce type de compensation a-technique sont réunis lorsque les positions de crédit de chaque partie trouvent leur titre dans le même rapport. Dans ce cas, il est légitime de procéder à un simple calcul comptable où les positions actives et passives de chaque partie sont définies et effacées jusqu</w:t>
      </w:r>
      <w:r w:rsidR="00F334C1">
        <w:rPr>
          <w:lang w:val="fr-FR"/>
        </w:rPr>
        <w:t>’</w:t>
      </w:r>
      <w:r w:rsidRPr="008E72F9">
        <w:rPr>
          <w:lang w:val="fr-FR"/>
        </w:rPr>
        <w:t>à compensation réciproque.</w:t>
      </w:r>
    </w:p>
    <w:p w:rsidR="00F334C1"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67</w:t>
      </w:r>
      <w:r w:rsidRPr="008E72F9">
        <w:rPr>
          <w:lang w:val="fr-FR"/>
        </w:rPr>
        <w:fldChar w:fldCharType="end"/>
      </w:r>
      <w:r w:rsidRPr="008E72F9">
        <w:rPr>
          <w:lang w:val="fr-FR"/>
        </w:rPr>
        <w:t>.  En particulier, dans son arrêt, la Cour Constitutionnelle a affirmé que, lorsque le crédit de l</w:t>
      </w:r>
      <w:r w:rsidR="00F334C1">
        <w:rPr>
          <w:lang w:val="fr-FR"/>
        </w:rPr>
        <w:t>’</w:t>
      </w:r>
      <w:r w:rsidRPr="008E72F9">
        <w:rPr>
          <w:lang w:val="fr-FR"/>
        </w:rPr>
        <w:t>employeur trouve sa source dans un délit commis par le salarié, dans le cadre de son activité professionnelle, contre l</w:t>
      </w:r>
      <w:r w:rsidR="00F334C1">
        <w:rPr>
          <w:lang w:val="fr-FR"/>
        </w:rPr>
        <w:t>’</w:t>
      </w:r>
      <w:r w:rsidRPr="008E72F9">
        <w:rPr>
          <w:lang w:val="fr-FR"/>
        </w:rPr>
        <w:t>employeur lui-même, il est pleinement justifié de ne pas appliquer la limite du cinquième.</w:t>
      </w:r>
    </w:p>
    <w:p w:rsidR="00F334C1"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68</w:t>
      </w:r>
      <w:r w:rsidRPr="008E72F9">
        <w:rPr>
          <w:lang w:val="fr-FR"/>
        </w:rPr>
        <w:fldChar w:fldCharType="end"/>
      </w:r>
      <w:r w:rsidRPr="008E72F9">
        <w:rPr>
          <w:lang w:val="fr-FR"/>
        </w:rPr>
        <w:t>.  En l</w:t>
      </w:r>
      <w:r w:rsidR="00F334C1">
        <w:rPr>
          <w:lang w:val="fr-FR"/>
        </w:rPr>
        <w:t>’</w:t>
      </w:r>
      <w:r w:rsidRPr="008E72F9">
        <w:rPr>
          <w:lang w:val="fr-FR"/>
        </w:rPr>
        <w:t>espèce, la Cour relève que l</w:t>
      </w:r>
      <w:r w:rsidR="00F334C1">
        <w:rPr>
          <w:lang w:val="fr-FR"/>
        </w:rPr>
        <w:t>’</w:t>
      </w:r>
      <w:r w:rsidRPr="008E72F9">
        <w:rPr>
          <w:lang w:val="fr-FR"/>
        </w:rPr>
        <w:t>ingérence dans le droit garanti par l</w:t>
      </w:r>
      <w:r w:rsidR="00F334C1">
        <w:rPr>
          <w:lang w:val="fr-FR"/>
        </w:rPr>
        <w:t>’</w:t>
      </w:r>
      <w:r w:rsidRPr="008E72F9">
        <w:rPr>
          <w:lang w:val="fr-FR"/>
        </w:rPr>
        <w:t>article 1 du Protocole n</w:t>
      </w:r>
      <w:r w:rsidR="00F334C1" w:rsidRPr="00F334C1">
        <w:rPr>
          <w:vertAlign w:val="superscript"/>
          <w:lang w:val="fr-FR"/>
        </w:rPr>
        <w:t>o</w:t>
      </w:r>
      <w:r w:rsidRPr="008E72F9">
        <w:rPr>
          <w:lang w:val="fr-FR"/>
        </w:rPr>
        <w:t xml:space="preserve"> 1 constituée par la compensation intégrale était prévue par la loi et faisait l</w:t>
      </w:r>
      <w:r w:rsidR="00F334C1">
        <w:rPr>
          <w:lang w:val="fr-FR"/>
        </w:rPr>
        <w:t>’</w:t>
      </w:r>
      <w:r w:rsidRPr="008E72F9">
        <w:rPr>
          <w:lang w:val="fr-FR"/>
        </w:rPr>
        <w:t>objet d</w:t>
      </w:r>
      <w:r w:rsidR="00F334C1">
        <w:rPr>
          <w:lang w:val="fr-FR"/>
        </w:rPr>
        <w:t>’</w:t>
      </w:r>
      <w:r w:rsidRPr="008E72F9">
        <w:rPr>
          <w:lang w:val="fr-FR"/>
        </w:rPr>
        <w:t>une jurisprudence bien établie.</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69</w:t>
      </w:r>
      <w:r w:rsidRPr="008E72F9">
        <w:rPr>
          <w:rFonts w:eastAsia="Times New Roman"/>
          <w:lang w:val="fr-FR"/>
        </w:rPr>
        <w:fldChar w:fldCharType="end"/>
      </w:r>
      <w:r w:rsidRPr="008E72F9">
        <w:rPr>
          <w:rFonts w:eastAsia="Times New Roman"/>
          <w:lang w:val="fr-FR"/>
        </w:rPr>
        <w:t>.  Quant à l</w:t>
      </w:r>
      <w:r w:rsidR="00F334C1">
        <w:rPr>
          <w:rFonts w:eastAsia="Times New Roman"/>
          <w:lang w:val="fr-FR"/>
        </w:rPr>
        <w:t>’</w:t>
      </w:r>
      <w:r w:rsidRPr="008E72F9">
        <w:rPr>
          <w:rFonts w:eastAsia="Times New Roman"/>
          <w:lang w:val="fr-FR"/>
        </w:rPr>
        <w:t>exigence d</w:t>
      </w:r>
      <w:r w:rsidR="00F334C1">
        <w:rPr>
          <w:rFonts w:eastAsia="Times New Roman"/>
          <w:lang w:val="fr-FR"/>
        </w:rPr>
        <w:t>’</w:t>
      </w:r>
      <w:r w:rsidRPr="008E72F9">
        <w:rPr>
          <w:rFonts w:eastAsia="Times New Roman"/>
          <w:lang w:val="fr-FR"/>
        </w:rPr>
        <w:t xml:space="preserve">un rapport raisonnable de proportionnalité entre les moyens employés et le but poursuivi, la Cour a reconnu que les </w:t>
      </w:r>
      <w:r w:rsidRPr="008E72F9">
        <w:rPr>
          <w:lang w:val="fr-FR"/>
        </w:rPr>
        <w:t>États</w:t>
      </w:r>
      <w:r w:rsidRPr="008E72F9">
        <w:rPr>
          <w:rFonts w:eastAsia="Times New Roman"/>
          <w:lang w:val="fr-FR"/>
        </w:rPr>
        <w:t xml:space="preserve"> contractants jouissent d</w:t>
      </w:r>
      <w:r w:rsidR="00F334C1">
        <w:rPr>
          <w:rFonts w:eastAsia="Times New Roman"/>
          <w:lang w:val="fr-FR"/>
        </w:rPr>
        <w:t>’</w:t>
      </w:r>
      <w:r w:rsidRPr="008E72F9">
        <w:rPr>
          <w:rFonts w:eastAsia="Times New Roman"/>
          <w:lang w:val="fr-FR"/>
        </w:rPr>
        <w:t>une grande marge d</w:t>
      </w:r>
      <w:r w:rsidR="00F334C1">
        <w:rPr>
          <w:rFonts w:eastAsia="Times New Roman"/>
          <w:lang w:val="fr-FR"/>
        </w:rPr>
        <w:t>’</w:t>
      </w:r>
      <w:r w:rsidRPr="008E72F9">
        <w:rPr>
          <w:rFonts w:eastAsia="Times New Roman"/>
          <w:lang w:val="fr-FR"/>
        </w:rPr>
        <w:t>appréciation tant pour choisir les moyens de recouvrement des créances que pour juger si leurs conséquences se trouvent légitimées, dans l</w:t>
      </w:r>
      <w:r w:rsidR="00F334C1">
        <w:rPr>
          <w:rFonts w:eastAsia="Times New Roman"/>
          <w:lang w:val="fr-FR"/>
        </w:rPr>
        <w:t>’</w:t>
      </w:r>
      <w:r w:rsidRPr="008E72F9">
        <w:rPr>
          <w:rFonts w:eastAsia="Times New Roman"/>
          <w:lang w:val="fr-FR"/>
        </w:rPr>
        <w:t>intérêt général, par le souci d</w:t>
      </w:r>
      <w:r w:rsidR="00F334C1">
        <w:rPr>
          <w:rFonts w:eastAsia="Times New Roman"/>
          <w:lang w:val="fr-FR"/>
        </w:rPr>
        <w:t>’</w:t>
      </w:r>
      <w:r w:rsidRPr="008E72F9">
        <w:rPr>
          <w:rFonts w:eastAsia="Times New Roman"/>
          <w:lang w:val="fr-FR"/>
        </w:rPr>
        <w:t>atteindre l</w:t>
      </w:r>
      <w:r w:rsidR="00F334C1">
        <w:rPr>
          <w:rFonts w:eastAsia="Times New Roman"/>
          <w:lang w:val="fr-FR"/>
        </w:rPr>
        <w:t>’</w:t>
      </w:r>
      <w:r w:rsidRPr="008E72F9">
        <w:rPr>
          <w:rFonts w:eastAsia="Times New Roman"/>
          <w:lang w:val="fr-FR"/>
        </w:rPr>
        <w:t>objectif de la loi en cause. En pareil cas, la Cour se fiera au jugement des autorités nationales quant à l</w:t>
      </w:r>
      <w:r w:rsidR="00F334C1">
        <w:rPr>
          <w:rFonts w:eastAsia="Times New Roman"/>
          <w:lang w:val="fr-FR"/>
        </w:rPr>
        <w:t>’</w:t>
      </w:r>
      <w:r w:rsidRPr="008E72F9">
        <w:rPr>
          <w:rFonts w:eastAsia="Times New Roman"/>
          <w:lang w:val="fr-FR"/>
        </w:rPr>
        <w:t>intérêt général, à moins qu</w:t>
      </w:r>
      <w:r w:rsidR="00F334C1">
        <w:rPr>
          <w:rFonts w:eastAsia="Times New Roman"/>
          <w:lang w:val="fr-FR"/>
        </w:rPr>
        <w:t>’</w:t>
      </w:r>
      <w:r w:rsidRPr="008E72F9">
        <w:rPr>
          <w:rFonts w:eastAsia="Times New Roman"/>
          <w:lang w:val="fr-FR"/>
        </w:rPr>
        <w:t>il soit manifestement dépourvu de base raisonnable (</w:t>
      </w:r>
      <w:r w:rsidRPr="008E72F9">
        <w:rPr>
          <w:i/>
          <w:lang w:val="fr-FR"/>
        </w:rPr>
        <w:t xml:space="preserve">Benet Czech, spol. s r.o. </w:t>
      </w:r>
      <w:r w:rsidR="00723D67">
        <w:rPr>
          <w:i/>
          <w:lang w:val="fr-FR"/>
        </w:rPr>
        <w:br/>
      </w:r>
      <w:r w:rsidRPr="008E72F9">
        <w:rPr>
          <w:i/>
          <w:lang w:val="fr-FR"/>
        </w:rPr>
        <w:t>c. République Tchèque</w:t>
      </w:r>
      <w:r w:rsidRPr="008E72F9">
        <w:rPr>
          <w:rFonts w:eastAsia="Times New Roman"/>
          <w:lang w:val="fr-FR"/>
        </w:rPr>
        <w:t>, n</w:t>
      </w:r>
      <w:r w:rsidR="00F334C1" w:rsidRPr="00F334C1">
        <w:rPr>
          <w:vertAlign w:val="superscript"/>
          <w:lang w:val="fr-FR"/>
        </w:rPr>
        <w:t>o</w:t>
      </w:r>
      <w:r w:rsidRPr="008E72F9">
        <w:rPr>
          <w:lang w:val="fr-FR"/>
        </w:rPr>
        <w:t xml:space="preserve"> 31555/05,</w:t>
      </w:r>
      <w:r w:rsidRPr="008E72F9">
        <w:rPr>
          <w:rFonts w:eastAsia="Times New Roman"/>
          <w:lang w:val="fr-FR"/>
        </w:rPr>
        <w:t xml:space="preserve"> §§ 30 et 35, 21 octobre 2010).</w:t>
      </w:r>
    </w:p>
    <w:p w:rsidR="00F334C1"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70</w:t>
      </w:r>
      <w:r w:rsidRPr="008E72F9">
        <w:rPr>
          <w:lang w:val="fr-FR"/>
        </w:rPr>
        <w:fldChar w:fldCharType="end"/>
      </w:r>
      <w:r w:rsidRPr="008E72F9">
        <w:rPr>
          <w:lang w:val="fr-FR"/>
        </w:rPr>
        <w:t>.  La Cour note que la compensation litigieuse ne touche que la créance pour arriérés de salaire reconnue par jugement du TAR de Frioul. Les autres revenus du requérant, en particulier sa pension, sont saisis dans la limite légale du cinquième en application des dispositions du code civil.</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71</w:t>
      </w:r>
      <w:r w:rsidRPr="008E72F9">
        <w:rPr>
          <w:rFonts w:eastAsia="Times New Roman"/>
          <w:lang w:val="fr-FR"/>
        </w:rPr>
        <w:fldChar w:fldCharType="end"/>
      </w:r>
      <w:r w:rsidRPr="008E72F9">
        <w:rPr>
          <w:rFonts w:eastAsia="Times New Roman"/>
          <w:lang w:val="fr-FR"/>
        </w:rPr>
        <w:t>.  La Cour observe, en outre, que l</w:t>
      </w:r>
      <w:r w:rsidR="00F334C1">
        <w:rPr>
          <w:rFonts w:eastAsia="Times New Roman"/>
          <w:lang w:val="fr-FR"/>
        </w:rPr>
        <w:t>’</w:t>
      </w:r>
      <w:r w:rsidRPr="008E72F9">
        <w:rPr>
          <w:rFonts w:eastAsia="Times New Roman"/>
          <w:lang w:val="fr-FR"/>
        </w:rPr>
        <w:t>ingérence litigieuse ne supprime pas les moyens dont le requérant nécessite pour subvenir à ses besoins et à ses exigences vitales. Il ne ressort pas des documents soumis à la Cour que le requérant n</w:t>
      </w:r>
      <w:r w:rsidR="00F334C1">
        <w:rPr>
          <w:rFonts w:eastAsia="Times New Roman"/>
          <w:lang w:val="fr-FR"/>
        </w:rPr>
        <w:t>’</w:t>
      </w:r>
      <w:r w:rsidRPr="008E72F9">
        <w:rPr>
          <w:rFonts w:eastAsia="Times New Roman"/>
          <w:lang w:val="fr-FR"/>
        </w:rPr>
        <w:t>est pas en mesure de maintenir un niveau de vie suffisamment adéquat et digne, indépendamment du remboursement de sa dette envers l</w:t>
      </w:r>
      <w:r w:rsidR="00F334C1">
        <w:rPr>
          <w:rFonts w:eastAsia="Times New Roman"/>
          <w:lang w:val="fr-FR"/>
        </w:rPr>
        <w:t>’</w:t>
      </w:r>
      <w:r w:rsidRPr="008E72F9">
        <w:rPr>
          <w:rFonts w:eastAsia="Times New Roman"/>
          <w:lang w:val="fr-FR"/>
        </w:rPr>
        <w:t>Administration</w:t>
      </w:r>
      <w:r w:rsidRPr="008E72F9">
        <w:rPr>
          <w:lang w:val="fr-FR"/>
        </w:rPr>
        <w:t xml:space="preserve"> (voir</w:t>
      </w:r>
      <w:r w:rsidRPr="008E72F9">
        <w:rPr>
          <w:rFonts w:ascii="Times New Roman" w:hAnsi="Times New Roman"/>
          <w:i/>
          <w:lang w:val="fr-FR" w:eastAsia="fr-FR"/>
        </w:rPr>
        <w:t xml:space="preserve"> Laduna c. Slovaquie</w:t>
      </w:r>
      <w:r w:rsidRPr="008E72F9">
        <w:rPr>
          <w:rFonts w:ascii="Times New Roman" w:hAnsi="Times New Roman"/>
          <w:lang w:val="fr-FR" w:eastAsia="fr-FR"/>
        </w:rPr>
        <w:t>, n</w:t>
      </w:r>
      <w:r w:rsidRPr="008E72F9">
        <w:rPr>
          <w:rFonts w:ascii="Times New Roman" w:hAnsi="Times New Roman"/>
          <w:vertAlign w:val="superscript"/>
          <w:lang w:val="fr-FR" w:eastAsia="fr-FR"/>
        </w:rPr>
        <w:t>o</w:t>
      </w:r>
      <w:r w:rsidRPr="008E72F9">
        <w:rPr>
          <w:rFonts w:ascii="Times New Roman" w:hAnsi="Times New Roman"/>
          <w:lang w:val="fr-FR" w:eastAsia="fr-FR"/>
        </w:rPr>
        <w:t xml:space="preserve"> 31827/02, § </w:t>
      </w:r>
      <w:r w:rsidRPr="008E72F9">
        <w:rPr>
          <w:lang w:val="fr-FR"/>
        </w:rPr>
        <w:t>85</w:t>
      </w:r>
      <w:r w:rsidRPr="008E72F9">
        <w:rPr>
          <w:rFonts w:ascii="Times New Roman" w:hAnsi="Times New Roman"/>
          <w:lang w:val="fr-FR" w:eastAsia="fr-FR"/>
        </w:rPr>
        <w:t>, CEDH 2011</w:t>
      </w:r>
      <w:r w:rsidRPr="008E72F9">
        <w:rPr>
          <w:lang w:val="fr-FR"/>
        </w:rPr>
        <w:t>)</w:t>
      </w:r>
      <w:r w:rsidRPr="008E72F9">
        <w:rPr>
          <w:rFonts w:eastAsia="Times New Roman"/>
          <w:lang w:val="fr-FR"/>
        </w:rPr>
        <w:t>.</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72</w:t>
      </w:r>
      <w:r w:rsidRPr="008E72F9">
        <w:rPr>
          <w:rFonts w:eastAsia="Times New Roman"/>
          <w:lang w:val="fr-FR"/>
        </w:rPr>
        <w:fldChar w:fldCharType="end"/>
      </w:r>
      <w:r w:rsidRPr="008E72F9">
        <w:rPr>
          <w:rFonts w:eastAsia="Times New Roman"/>
          <w:lang w:val="fr-FR"/>
        </w:rPr>
        <w:t>.  Eu égard aux informations en sa possession, et considérant la marge d</w:t>
      </w:r>
      <w:r w:rsidR="00F334C1">
        <w:rPr>
          <w:rFonts w:eastAsia="Times New Roman"/>
          <w:lang w:val="fr-FR"/>
        </w:rPr>
        <w:t>’</w:t>
      </w:r>
      <w:r w:rsidRPr="008E72F9">
        <w:rPr>
          <w:rFonts w:eastAsia="Times New Roman"/>
          <w:lang w:val="fr-FR"/>
        </w:rPr>
        <w:t xml:space="preserve">appréciation accordée aux </w:t>
      </w:r>
      <w:r w:rsidRPr="008E72F9">
        <w:rPr>
          <w:lang w:val="fr-FR"/>
        </w:rPr>
        <w:t>États</w:t>
      </w:r>
      <w:r w:rsidRPr="008E72F9">
        <w:rPr>
          <w:rFonts w:eastAsia="Times New Roman"/>
          <w:lang w:val="fr-FR"/>
        </w:rPr>
        <w:t xml:space="preserve"> contractants dans des affaires similaires, la Cour estime que l</w:t>
      </w:r>
      <w:r w:rsidR="00F334C1">
        <w:rPr>
          <w:rFonts w:eastAsia="Times New Roman"/>
          <w:lang w:val="fr-FR"/>
        </w:rPr>
        <w:t>’</w:t>
      </w:r>
      <w:r w:rsidRPr="008E72F9">
        <w:rPr>
          <w:rFonts w:eastAsia="Times New Roman"/>
          <w:lang w:val="fr-FR"/>
        </w:rPr>
        <w:t>ingérence litigieuse n</w:t>
      </w:r>
      <w:r w:rsidR="00F334C1">
        <w:rPr>
          <w:rFonts w:eastAsia="Times New Roman"/>
          <w:lang w:val="fr-FR"/>
        </w:rPr>
        <w:t>’</w:t>
      </w:r>
      <w:r w:rsidRPr="008E72F9">
        <w:rPr>
          <w:rFonts w:eastAsia="Times New Roman"/>
          <w:lang w:val="fr-FR"/>
        </w:rPr>
        <w:t>est pas disproportionnée par rapport au but poursuivi.</w:t>
      </w:r>
    </w:p>
    <w:p w:rsidR="008E72F9" w:rsidRPr="008E72F9" w:rsidRDefault="008E72F9" w:rsidP="0019294A">
      <w:pPr>
        <w:pStyle w:val="ECHRPara"/>
        <w:rPr>
          <w:lang w:val="fr-FR"/>
        </w:rPr>
      </w:pPr>
      <w:r w:rsidRPr="008E72F9">
        <w:rPr>
          <w:rFonts w:eastAsia="Times New Roman"/>
          <w:lang w:val="fr-FR"/>
        </w:rPr>
        <w:fldChar w:fldCharType="begin"/>
      </w:r>
      <w:r w:rsidRPr="008E72F9">
        <w:rPr>
          <w:rFonts w:eastAsia="Times New Roman"/>
          <w:lang w:val="fr-FR"/>
        </w:rPr>
        <w:instrText xml:space="preserve"> SEQ level0 \*arabic </w:instrText>
      </w:r>
      <w:r w:rsidRPr="008E72F9">
        <w:rPr>
          <w:rFonts w:eastAsia="Times New Roman"/>
          <w:lang w:val="fr-FR"/>
        </w:rPr>
        <w:fldChar w:fldCharType="separate"/>
      </w:r>
      <w:r w:rsidR="00062FB8">
        <w:rPr>
          <w:rFonts w:eastAsia="Times New Roman"/>
          <w:noProof/>
          <w:lang w:val="fr-FR"/>
        </w:rPr>
        <w:t>73</w:t>
      </w:r>
      <w:r w:rsidRPr="008E72F9">
        <w:rPr>
          <w:rFonts w:eastAsia="Times New Roman"/>
          <w:lang w:val="fr-FR"/>
        </w:rPr>
        <w:fldChar w:fldCharType="end"/>
      </w:r>
      <w:r w:rsidRPr="008E72F9">
        <w:rPr>
          <w:rFonts w:eastAsia="Times New Roman"/>
          <w:lang w:val="fr-FR"/>
        </w:rPr>
        <w:t>.  Il n</w:t>
      </w:r>
      <w:r w:rsidR="00F334C1">
        <w:rPr>
          <w:rFonts w:eastAsia="Times New Roman"/>
          <w:lang w:val="fr-FR"/>
        </w:rPr>
        <w:t>’</w:t>
      </w:r>
      <w:r w:rsidRPr="008E72F9">
        <w:rPr>
          <w:rFonts w:eastAsia="Times New Roman"/>
          <w:lang w:val="fr-FR"/>
        </w:rPr>
        <w:t>y a donc pas eu violation de l</w:t>
      </w:r>
      <w:r w:rsidR="00F334C1">
        <w:rPr>
          <w:rFonts w:eastAsia="Times New Roman"/>
          <w:lang w:val="fr-FR"/>
        </w:rPr>
        <w:t>’</w:t>
      </w:r>
      <w:r w:rsidRPr="008E72F9">
        <w:rPr>
          <w:rFonts w:eastAsia="Times New Roman"/>
          <w:lang w:val="fr-FR"/>
        </w:rPr>
        <w:t>article 1 du Protocole n</w:t>
      </w:r>
      <w:r w:rsidR="00F334C1" w:rsidRPr="00F334C1">
        <w:rPr>
          <w:vertAlign w:val="superscript"/>
          <w:lang w:val="fr-FR"/>
        </w:rPr>
        <w:t>o</w:t>
      </w:r>
      <w:r w:rsidRPr="008E72F9">
        <w:rPr>
          <w:lang w:val="fr-FR"/>
        </w:rPr>
        <w:t xml:space="preserve"> </w:t>
      </w:r>
      <w:r w:rsidRPr="008E72F9">
        <w:rPr>
          <w:rFonts w:eastAsia="Times New Roman"/>
          <w:lang w:val="fr-FR"/>
        </w:rPr>
        <w:t>1.</w:t>
      </w:r>
    </w:p>
    <w:p w:rsidR="008E72F9" w:rsidRPr="008E72F9" w:rsidRDefault="008E72F9" w:rsidP="0019294A">
      <w:pPr>
        <w:pStyle w:val="ECHRHeading1"/>
        <w:rPr>
          <w:lang w:val="fr-FR"/>
        </w:rPr>
      </w:pPr>
      <w:r w:rsidRPr="008E72F9">
        <w:rPr>
          <w:lang w:val="fr-FR"/>
        </w:rPr>
        <w:t>IV.  SUR LES AUTRES VIOLATIONS ALLÉGUÉES</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74</w:t>
      </w:r>
      <w:r w:rsidRPr="008E72F9">
        <w:rPr>
          <w:lang w:val="fr-FR"/>
        </w:rPr>
        <w:fldChar w:fldCharType="end"/>
      </w:r>
      <w:r w:rsidR="00471BFC" w:rsidRPr="008E72F9">
        <w:rPr>
          <w:rFonts w:eastAsia="Times New Roman"/>
          <w:lang w:val="fr-FR"/>
        </w:rPr>
        <w:t>  </w:t>
      </w:r>
      <w:r w:rsidRPr="008E72F9">
        <w:rPr>
          <w:lang w:val="fr-FR"/>
        </w:rPr>
        <w:t>Invoquant l</w:t>
      </w:r>
      <w:r w:rsidR="00F334C1">
        <w:rPr>
          <w:lang w:val="fr-FR"/>
        </w:rPr>
        <w:t>’</w:t>
      </w:r>
      <w:r w:rsidRPr="008E72F9">
        <w:rPr>
          <w:lang w:val="fr-FR"/>
        </w:rPr>
        <w:t>article 6 § 1 de la Convention, le requérant se plaint enfin du fait que le procès comptable aurait été entamé à une date à laquelle le droit au recouvrement de l</w:t>
      </w:r>
      <w:r w:rsidR="00F334C1">
        <w:rPr>
          <w:lang w:val="fr-FR"/>
        </w:rPr>
        <w:t>’</w:t>
      </w:r>
      <w:r w:rsidRPr="008E72F9">
        <w:rPr>
          <w:lang w:val="fr-FR"/>
        </w:rPr>
        <w:t>Administration était déjà prescrit. La Cour note que les doléances de l</w:t>
      </w:r>
      <w:r w:rsidR="00F334C1">
        <w:rPr>
          <w:lang w:val="fr-FR"/>
        </w:rPr>
        <w:t>’</w:t>
      </w:r>
      <w:r w:rsidRPr="008E72F9">
        <w:rPr>
          <w:lang w:val="fr-FR"/>
        </w:rPr>
        <w:t>intéressé relèvent essentiellement de la quatrième instance et ne sauraient être retenues par la Cour. Par ailleurs, les décisions judiciaires de la Cour de comptes, mises en cause par le requérant, ont dûment motivé les points controversés, ce qui permet d</w:t>
      </w:r>
      <w:r w:rsidR="00F334C1">
        <w:rPr>
          <w:lang w:val="fr-FR"/>
        </w:rPr>
        <w:t>’</w:t>
      </w:r>
      <w:r w:rsidRPr="008E72F9">
        <w:rPr>
          <w:lang w:val="fr-FR"/>
        </w:rPr>
        <w:t>écarter tout risque d</w:t>
      </w:r>
      <w:r w:rsidR="00F334C1">
        <w:rPr>
          <w:lang w:val="fr-FR"/>
        </w:rPr>
        <w:t>’</w:t>
      </w:r>
      <w:r w:rsidRPr="008E72F9">
        <w:rPr>
          <w:lang w:val="fr-FR"/>
        </w:rPr>
        <w:t>arbitraire.</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75</w:t>
      </w:r>
      <w:r w:rsidRPr="008E72F9">
        <w:rPr>
          <w:lang w:val="fr-FR"/>
        </w:rPr>
        <w:fldChar w:fldCharType="end"/>
      </w:r>
      <w:r w:rsidRPr="008E72F9">
        <w:rPr>
          <w:lang w:val="fr-FR"/>
        </w:rPr>
        <w:t>.  Il s</w:t>
      </w:r>
      <w:r w:rsidR="00F334C1">
        <w:rPr>
          <w:lang w:val="fr-FR"/>
        </w:rPr>
        <w:t>’</w:t>
      </w:r>
      <w:r w:rsidRPr="008E72F9">
        <w:rPr>
          <w:lang w:val="fr-FR"/>
        </w:rPr>
        <w:t>ensuit que le grief doit être rejeté pour défaut manifeste de fondement, en application de l</w:t>
      </w:r>
      <w:r w:rsidR="00F334C1">
        <w:rPr>
          <w:lang w:val="fr-FR"/>
        </w:rPr>
        <w:t>’</w:t>
      </w:r>
      <w:r w:rsidRPr="008E72F9">
        <w:rPr>
          <w:lang w:val="fr-FR"/>
        </w:rPr>
        <w:t>article 35 §§ 3 a) et 4 de la Convention.</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76</w:t>
      </w:r>
      <w:r w:rsidRPr="008E72F9">
        <w:rPr>
          <w:lang w:val="fr-FR"/>
        </w:rPr>
        <w:fldChar w:fldCharType="end"/>
      </w:r>
      <w:r w:rsidRPr="008E72F9">
        <w:rPr>
          <w:lang w:val="fr-FR"/>
        </w:rPr>
        <w:t>.  Invoquant l</w:t>
      </w:r>
      <w:r w:rsidR="00F334C1">
        <w:rPr>
          <w:lang w:val="fr-FR"/>
        </w:rPr>
        <w:t>’</w:t>
      </w:r>
      <w:r w:rsidRPr="008E72F9">
        <w:rPr>
          <w:lang w:val="fr-FR"/>
        </w:rPr>
        <w:t>article 13 de la Convention, le requérant se plaint de l</w:t>
      </w:r>
      <w:r w:rsidR="00F334C1">
        <w:rPr>
          <w:lang w:val="fr-FR"/>
        </w:rPr>
        <w:t>’</w:t>
      </w:r>
      <w:r w:rsidRPr="008E72F9">
        <w:rPr>
          <w:lang w:val="fr-FR"/>
        </w:rPr>
        <w:t>ineffectivité du remède « Pinto » en raison de l</w:t>
      </w:r>
      <w:r w:rsidR="00F334C1">
        <w:rPr>
          <w:lang w:val="fr-FR"/>
        </w:rPr>
        <w:t>’</w:t>
      </w:r>
      <w:r w:rsidRPr="008E72F9">
        <w:rPr>
          <w:lang w:val="fr-FR"/>
        </w:rPr>
        <w:t>absence d</w:t>
      </w:r>
      <w:r w:rsidR="00F334C1">
        <w:rPr>
          <w:lang w:val="fr-FR"/>
        </w:rPr>
        <w:t>’</w:t>
      </w:r>
      <w:r w:rsidRPr="008E72F9">
        <w:rPr>
          <w:lang w:val="fr-FR"/>
        </w:rPr>
        <w:t>indemnisation.</w:t>
      </w:r>
    </w:p>
    <w:p w:rsidR="008E72F9" w:rsidRPr="008E72F9" w:rsidRDefault="008E72F9" w:rsidP="0019294A">
      <w:pPr>
        <w:pStyle w:val="ECHRPara"/>
        <w:rPr>
          <w:lang w:val="fr-FR"/>
        </w:rPr>
      </w:pPr>
      <w:r w:rsidRPr="008E72F9">
        <w:rPr>
          <w:lang w:val="fr-FR"/>
        </w:rPr>
        <w:fldChar w:fldCharType="begin"/>
      </w:r>
      <w:r w:rsidRPr="008E72F9">
        <w:rPr>
          <w:lang w:val="fr-FR"/>
        </w:rPr>
        <w:instrText xml:space="preserve"> SEQ level0 \*arabic </w:instrText>
      </w:r>
      <w:r w:rsidRPr="008E72F9">
        <w:rPr>
          <w:lang w:val="fr-FR"/>
        </w:rPr>
        <w:fldChar w:fldCharType="separate"/>
      </w:r>
      <w:r w:rsidR="00062FB8">
        <w:rPr>
          <w:noProof/>
          <w:lang w:val="fr-FR"/>
        </w:rPr>
        <w:t>77</w:t>
      </w:r>
      <w:r w:rsidRPr="008E72F9">
        <w:rPr>
          <w:lang w:val="fr-FR"/>
        </w:rPr>
        <w:fldChar w:fldCharType="end"/>
      </w:r>
      <w:r w:rsidRPr="008E72F9">
        <w:rPr>
          <w:lang w:val="fr-FR"/>
        </w:rPr>
        <w:t xml:space="preserve">.  Eu égard à la jurisprudence </w:t>
      </w:r>
      <w:r w:rsidRPr="008E72F9">
        <w:rPr>
          <w:i/>
          <w:lang w:val="fr-FR"/>
        </w:rPr>
        <w:t>Delle Cave et Corrado c. Italie</w:t>
      </w:r>
      <w:r w:rsidRPr="008E72F9">
        <w:rPr>
          <w:lang w:val="fr-FR"/>
        </w:rPr>
        <w:t xml:space="preserve"> (n</w:t>
      </w:r>
      <w:r w:rsidRPr="008E72F9">
        <w:rPr>
          <w:vertAlign w:val="superscript"/>
          <w:lang w:val="fr-FR"/>
        </w:rPr>
        <w:t>o</w:t>
      </w:r>
      <w:r w:rsidRPr="008E72F9">
        <w:rPr>
          <w:lang w:val="fr-FR"/>
        </w:rPr>
        <w:t>14626/03, § 43-46, 5 juin) et</w:t>
      </w:r>
      <w:r w:rsidRPr="008E72F9">
        <w:rPr>
          <w:i/>
          <w:lang w:val="fr-FR"/>
        </w:rPr>
        <w:t xml:space="preserve"> Simaldone c. Italie</w:t>
      </w:r>
      <w:r w:rsidRPr="008E72F9">
        <w:rPr>
          <w:lang w:val="fr-FR"/>
        </w:rPr>
        <w:t xml:space="preserve"> (n</w:t>
      </w:r>
      <w:r w:rsidRPr="008E72F9">
        <w:rPr>
          <w:vertAlign w:val="superscript"/>
          <w:lang w:val="fr-FR"/>
        </w:rPr>
        <w:t>o</w:t>
      </w:r>
      <w:r w:rsidRPr="008E72F9">
        <w:rPr>
          <w:lang w:val="fr-FR"/>
        </w:rPr>
        <w:t>22644/03, § 71-72, 31 mars 2009), la Cour estime qu</w:t>
      </w:r>
      <w:r w:rsidR="00F334C1">
        <w:rPr>
          <w:lang w:val="fr-FR"/>
        </w:rPr>
        <w:t>’</w:t>
      </w:r>
      <w:r w:rsidRPr="008E72F9">
        <w:rPr>
          <w:lang w:val="fr-FR"/>
        </w:rPr>
        <w:t>en l</w:t>
      </w:r>
      <w:r w:rsidR="00F334C1">
        <w:rPr>
          <w:lang w:val="fr-FR"/>
        </w:rPr>
        <w:t>’</w:t>
      </w:r>
      <w:r w:rsidRPr="008E72F9">
        <w:rPr>
          <w:lang w:val="fr-FR"/>
        </w:rPr>
        <w:t>espèce l</w:t>
      </w:r>
      <w:r w:rsidR="00F334C1">
        <w:rPr>
          <w:lang w:val="fr-FR"/>
        </w:rPr>
        <w:t>’</w:t>
      </w:r>
      <w:r w:rsidRPr="008E72F9">
        <w:rPr>
          <w:lang w:val="fr-FR"/>
        </w:rPr>
        <w:t>absence de l</w:t>
      </w:r>
      <w:r w:rsidR="00F334C1">
        <w:rPr>
          <w:lang w:val="fr-FR"/>
        </w:rPr>
        <w:t>’</w:t>
      </w:r>
      <w:r w:rsidRPr="008E72F9">
        <w:rPr>
          <w:lang w:val="fr-FR"/>
        </w:rPr>
        <w:t>indemnisation « Pinto » ne remet pas en cause l</w:t>
      </w:r>
      <w:r w:rsidR="00F334C1">
        <w:rPr>
          <w:lang w:val="fr-FR"/>
        </w:rPr>
        <w:t>’</w:t>
      </w:r>
      <w:r w:rsidRPr="008E72F9">
        <w:rPr>
          <w:lang w:val="fr-FR"/>
        </w:rPr>
        <w:t>effectivité de cette voie de recours. Partant, il y a lieu de déclarer ce grief irrecevable pour défaut manifeste de fondement au sens de l</w:t>
      </w:r>
      <w:r w:rsidR="00F334C1">
        <w:rPr>
          <w:lang w:val="fr-FR"/>
        </w:rPr>
        <w:t>’</w:t>
      </w:r>
      <w:r w:rsidRPr="008E72F9">
        <w:rPr>
          <w:lang w:val="fr-FR"/>
        </w:rPr>
        <w:t>article 35 §§ 3a) et 4 de la Convention.</w:t>
      </w:r>
    </w:p>
    <w:p w:rsidR="00723D67" w:rsidRPr="005E37C6" w:rsidRDefault="00723D67" w:rsidP="00723D67">
      <w:pPr>
        <w:pStyle w:val="ECHRTitle1"/>
        <w:keepNext w:val="0"/>
        <w:keepLines w:val="0"/>
        <w:rPr>
          <w:lang w:val="fr-FR"/>
        </w:rPr>
      </w:pPr>
      <w:r w:rsidRPr="005E37C6">
        <w:rPr>
          <w:lang w:val="fr-FR"/>
        </w:rPr>
        <w:t>PAR CES MOTIFS, LA COUR, À L</w:t>
      </w:r>
      <w:r w:rsidR="00F334C1">
        <w:rPr>
          <w:lang w:val="fr-FR"/>
        </w:rPr>
        <w:t>’</w:t>
      </w:r>
      <w:r w:rsidRPr="005E37C6">
        <w:rPr>
          <w:lang w:val="fr-FR"/>
        </w:rPr>
        <w:t>UNANIMITÉ,</w:t>
      </w:r>
    </w:p>
    <w:p w:rsidR="00723D67" w:rsidRDefault="00723D67" w:rsidP="00723D67">
      <w:pPr>
        <w:pStyle w:val="JuList"/>
        <w:rPr>
          <w:lang w:val="fr-FR"/>
        </w:rPr>
      </w:pPr>
      <w:r w:rsidRPr="005E37C6">
        <w:rPr>
          <w:lang w:val="fr-FR"/>
        </w:rPr>
        <w:t>1.  </w:t>
      </w:r>
      <w:r w:rsidRPr="005E37C6">
        <w:rPr>
          <w:i/>
          <w:lang w:val="fr-FR"/>
        </w:rPr>
        <w:t>Déclare</w:t>
      </w:r>
      <w:r w:rsidRPr="005E37C6">
        <w:rPr>
          <w:lang w:val="fr-FR"/>
        </w:rPr>
        <w:t>, la requête recevable</w:t>
      </w:r>
      <w:r>
        <w:rPr>
          <w:lang w:val="fr-FR"/>
        </w:rPr>
        <w:t xml:space="preserve"> quant aux griefs tirés des articles 6 § 1 de la Convention (droit à un tribunal)</w:t>
      </w:r>
      <w:r w:rsidRPr="005E37C6">
        <w:rPr>
          <w:lang w:val="fr-FR"/>
        </w:rPr>
        <w:t> </w:t>
      </w:r>
      <w:r>
        <w:rPr>
          <w:lang w:val="fr-FR"/>
        </w:rPr>
        <w:t>et 1 du Protocole n</w:t>
      </w:r>
      <w:r w:rsidR="00F334C1" w:rsidRPr="00F334C1">
        <w:rPr>
          <w:vertAlign w:val="superscript"/>
          <w:lang w:val="fr-FR"/>
        </w:rPr>
        <w:t>o</w:t>
      </w:r>
      <w:r>
        <w:rPr>
          <w:lang w:val="fr-FR"/>
        </w:rPr>
        <w:t xml:space="preserve"> 1 et irrecevable pour le surplus </w:t>
      </w:r>
      <w:r w:rsidRPr="005E37C6">
        <w:rPr>
          <w:lang w:val="fr-FR"/>
        </w:rPr>
        <w:t>;</w:t>
      </w:r>
    </w:p>
    <w:p w:rsidR="00723D67" w:rsidRDefault="00723D67" w:rsidP="00723D67">
      <w:pPr>
        <w:pStyle w:val="JuList"/>
        <w:ind w:left="0" w:firstLine="0"/>
        <w:rPr>
          <w:lang w:val="fr-FR"/>
        </w:rPr>
      </w:pPr>
    </w:p>
    <w:p w:rsidR="00723D67" w:rsidRPr="005E37C6" w:rsidRDefault="00723D67" w:rsidP="00723D67">
      <w:pPr>
        <w:pStyle w:val="JuList"/>
        <w:rPr>
          <w:lang w:val="fr-FR"/>
        </w:rPr>
      </w:pPr>
      <w:r>
        <w:rPr>
          <w:lang w:val="fr-FR"/>
        </w:rPr>
        <w:t>2</w:t>
      </w:r>
      <w:r w:rsidRPr="005E37C6">
        <w:rPr>
          <w:lang w:val="fr-FR"/>
        </w:rPr>
        <w:t>.  </w:t>
      </w:r>
      <w:r w:rsidRPr="005E37C6">
        <w:rPr>
          <w:i/>
          <w:lang w:val="fr-FR"/>
        </w:rPr>
        <w:t>Dit</w:t>
      </w:r>
      <w:r w:rsidRPr="005E37C6">
        <w:rPr>
          <w:lang w:val="fr-FR"/>
        </w:rPr>
        <w:t>, qu</w:t>
      </w:r>
      <w:r w:rsidR="00F334C1">
        <w:rPr>
          <w:lang w:val="fr-FR"/>
        </w:rPr>
        <w:t>’</w:t>
      </w:r>
      <w:r w:rsidRPr="005E37C6">
        <w:rPr>
          <w:lang w:val="fr-FR"/>
        </w:rPr>
        <w:t xml:space="preserve">il </w:t>
      </w:r>
      <w:r>
        <w:rPr>
          <w:lang w:val="fr-FR"/>
        </w:rPr>
        <w:t>n</w:t>
      </w:r>
      <w:r w:rsidR="00F334C1">
        <w:rPr>
          <w:lang w:val="fr-FR"/>
        </w:rPr>
        <w:t>’</w:t>
      </w:r>
      <w:r w:rsidRPr="005E37C6">
        <w:rPr>
          <w:lang w:val="fr-FR"/>
        </w:rPr>
        <w:t>y a</w:t>
      </w:r>
      <w:r>
        <w:rPr>
          <w:lang w:val="fr-FR"/>
        </w:rPr>
        <w:t xml:space="preserve"> pas</w:t>
      </w:r>
      <w:r w:rsidRPr="005E37C6">
        <w:rPr>
          <w:lang w:val="fr-FR"/>
        </w:rPr>
        <w:t xml:space="preserve"> eu violation de l</w:t>
      </w:r>
      <w:r w:rsidR="00F334C1">
        <w:rPr>
          <w:lang w:val="fr-FR"/>
        </w:rPr>
        <w:t>’</w:t>
      </w:r>
      <w:r w:rsidRPr="005E37C6">
        <w:rPr>
          <w:lang w:val="fr-FR"/>
        </w:rPr>
        <w:t xml:space="preserve">article </w:t>
      </w:r>
      <w:r>
        <w:rPr>
          <w:lang w:val="fr-FR"/>
        </w:rPr>
        <w:t>6 § 1</w:t>
      </w:r>
      <w:r w:rsidRPr="005E37C6">
        <w:rPr>
          <w:lang w:val="fr-FR"/>
        </w:rPr>
        <w:t xml:space="preserve"> de la Convention</w:t>
      </w:r>
      <w:r>
        <w:rPr>
          <w:lang w:val="fr-FR"/>
        </w:rPr>
        <w:t xml:space="preserve"> (droit à un tribunal) </w:t>
      </w:r>
      <w:r w:rsidRPr="005E37C6">
        <w:rPr>
          <w:lang w:val="fr-FR"/>
        </w:rPr>
        <w:t>;</w:t>
      </w:r>
    </w:p>
    <w:p w:rsidR="00723D67" w:rsidRPr="005E37C6" w:rsidRDefault="00723D67" w:rsidP="00723D67">
      <w:pPr>
        <w:pStyle w:val="JuList"/>
        <w:rPr>
          <w:lang w:val="fr-FR"/>
        </w:rPr>
      </w:pPr>
    </w:p>
    <w:p w:rsidR="00723D67" w:rsidRPr="005E37C6" w:rsidRDefault="00723D67" w:rsidP="00723D67">
      <w:pPr>
        <w:pStyle w:val="JuList"/>
        <w:rPr>
          <w:lang w:val="fr-FR"/>
        </w:rPr>
      </w:pPr>
      <w:r>
        <w:rPr>
          <w:lang w:val="fr-FR"/>
        </w:rPr>
        <w:t>3</w:t>
      </w:r>
      <w:r w:rsidRPr="005E37C6">
        <w:rPr>
          <w:lang w:val="fr-FR"/>
        </w:rPr>
        <w:t>.  </w:t>
      </w:r>
      <w:r w:rsidRPr="005E37C6">
        <w:rPr>
          <w:i/>
          <w:lang w:val="fr-FR"/>
        </w:rPr>
        <w:t>Dit</w:t>
      </w:r>
      <w:r w:rsidRPr="005E37C6">
        <w:rPr>
          <w:lang w:val="fr-FR"/>
        </w:rPr>
        <w:t>, qu</w:t>
      </w:r>
      <w:r w:rsidR="00F334C1">
        <w:rPr>
          <w:lang w:val="fr-FR"/>
        </w:rPr>
        <w:t>’</w:t>
      </w:r>
      <w:r w:rsidRPr="005E37C6">
        <w:rPr>
          <w:lang w:val="fr-FR"/>
        </w:rPr>
        <w:t xml:space="preserve">il </w:t>
      </w:r>
      <w:r>
        <w:rPr>
          <w:lang w:val="fr-FR"/>
        </w:rPr>
        <w:t>n</w:t>
      </w:r>
      <w:r w:rsidR="00F334C1">
        <w:rPr>
          <w:lang w:val="fr-FR"/>
        </w:rPr>
        <w:t>’</w:t>
      </w:r>
      <w:r w:rsidRPr="005E37C6">
        <w:rPr>
          <w:lang w:val="fr-FR"/>
        </w:rPr>
        <w:t>y a</w:t>
      </w:r>
      <w:r>
        <w:rPr>
          <w:lang w:val="fr-FR"/>
        </w:rPr>
        <w:t xml:space="preserve"> pas</w:t>
      </w:r>
      <w:r w:rsidRPr="005E37C6">
        <w:rPr>
          <w:lang w:val="fr-FR"/>
        </w:rPr>
        <w:t xml:space="preserve"> eu violation de l</w:t>
      </w:r>
      <w:r w:rsidR="00F334C1">
        <w:rPr>
          <w:lang w:val="fr-FR"/>
        </w:rPr>
        <w:t>’</w:t>
      </w:r>
      <w:r w:rsidRPr="005E37C6">
        <w:rPr>
          <w:lang w:val="fr-FR"/>
        </w:rPr>
        <w:t xml:space="preserve">article </w:t>
      </w:r>
      <w:r>
        <w:rPr>
          <w:lang w:val="fr-FR"/>
        </w:rPr>
        <w:t>1 du Protocole n</w:t>
      </w:r>
      <w:r w:rsidR="00F334C1" w:rsidRPr="00F334C1">
        <w:rPr>
          <w:vertAlign w:val="superscript"/>
          <w:lang w:val="fr-FR"/>
        </w:rPr>
        <w:t>o</w:t>
      </w:r>
      <w:r>
        <w:rPr>
          <w:lang w:val="fr-FR"/>
        </w:rPr>
        <w:t xml:space="preserve"> 1</w:t>
      </w:r>
      <w:r w:rsidR="00F10FD9">
        <w:rPr>
          <w:lang w:val="fr-FR"/>
        </w:rPr>
        <w:t>.</w:t>
      </w:r>
    </w:p>
    <w:p w:rsidR="008E72F9" w:rsidRDefault="00723D67" w:rsidP="00F10FD9">
      <w:pPr>
        <w:pStyle w:val="JuParaLast"/>
        <w:rPr>
          <w:lang w:val="fr-FR"/>
        </w:rPr>
      </w:pPr>
      <w:r w:rsidRPr="005E37C6">
        <w:rPr>
          <w:lang w:val="fr-FR"/>
        </w:rPr>
        <w:t>Fait en français, puis communiqué par écrit le</w:t>
      </w:r>
      <w:r>
        <w:rPr>
          <w:lang w:val="fr-FR"/>
        </w:rPr>
        <w:t xml:space="preserve"> 16 juin 2015</w:t>
      </w:r>
      <w:r w:rsidRPr="005E37C6">
        <w:rPr>
          <w:lang w:val="fr-FR"/>
        </w:rPr>
        <w:t>, en application de l</w:t>
      </w:r>
      <w:r w:rsidR="00F334C1">
        <w:rPr>
          <w:lang w:val="fr-FR"/>
        </w:rPr>
        <w:t>’</w:t>
      </w:r>
      <w:r w:rsidRPr="005E37C6">
        <w:rPr>
          <w:lang w:val="fr-FR"/>
        </w:rPr>
        <w:t>article 77 §§ 2 et 3 du règlement de la Cour.</w:t>
      </w:r>
    </w:p>
    <w:p w:rsidR="002258CD" w:rsidRPr="00E37CB1" w:rsidRDefault="00723D67" w:rsidP="00723D67">
      <w:pPr>
        <w:pStyle w:val="JuSigned"/>
        <w:rPr>
          <w:lang w:val="fr-FR"/>
        </w:rPr>
      </w:pPr>
      <w:r w:rsidRPr="005E37C6">
        <w:rPr>
          <w:lang w:val="fr-FR"/>
        </w:rPr>
        <w:tab/>
      </w:r>
      <w:r>
        <w:rPr>
          <w:lang w:val="fr-FR"/>
        </w:rPr>
        <w:t>Françoise</w:t>
      </w:r>
      <w:r w:rsidRPr="005E37C6">
        <w:rPr>
          <w:lang w:val="fr-FR"/>
        </w:rPr>
        <w:t xml:space="preserve"> </w:t>
      </w:r>
      <w:r>
        <w:rPr>
          <w:lang w:val="fr-FR"/>
        </w:rPr>
        <w:t>Elens-Passos</w:t>
      </w:r>
      <w:r w:rsidRPr="005E37C6">
        <w:rPr>
          <w:lang w:val="fr-FR"/>
        </w:rPr>
        <w:tab/>
      </w:r>
      <w:r>
        <w:rPr>
          <w:szCs w:val="24"/>
          <w:lang w:val="fr-FR"/>
        </w:rPr>
        <w:t>Päivi</w:t>
      </w:r>
      <w:r w:rsidRPr="005E37C6">
        <w:rPr>
          <w:szCs w:val="24"/>
          <w:lang w:val="fr-FR"/>
        </w:rPr>
        <w:t xml:space="preserve"> </w:t>
      </w:r>
      <w:r>
        <w:rPr>
          <w:szCs w:val="24"/>
          <w:lang w:val="fr-FR"/>
        </w:rPr>
        <w:t>Hirvelä</w:t>
      </w:r>
      <w:r w:rsidRPr="005E37C6">
        <w:rPr>
          <w:lang w:val="fr-FR"/>
        </w:rPr>
        <w:br/>
      </w:r>
      <w:r w:rsidRPr="005E37C6">
        <w:rPr>
          <w:lang w:val="fr-FR"/>
        </w:rPr>
        <w:tab/>
        <w:t>Greffière</w:t>
      </w:r>
      <w:r w:rsidRPr="005E37C6">
        <w:rPr>
          <w:lang w:val="fr-FR"/>
        </w:rPr>
        <w:tab/>
        <w:t>Présidente</w:t>
      </w:r>
    </w:p>
    <w:p w:rsidR="004D15F3" w:rsidRPr="00E37CB1" w:rsidRDefault="004D15F3" w:rsidP="00C36408">
      <w:pPr>
        <w:rPr>
          <w:lang w:val="fr-FR"/>
        </w:rPr>
      </w:pPr>
    </w:p>
    <w:sectPr w:rsidR="004D15F3" w:rsidRPr="00E37CB1">
      <w:headerReference w:type="even" r:id="rId11"/>
      <w:headerReference w:type="default" r:id="rId12"/>
      <w:footerReference w:type="even" r:id="rId13"/>
      <w:footerReference w:type="default" r:id="rId14"/>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2F9" w:rsidRDefault="008E72F9" w:rsidP="002D2C99">
      <w:r>
        <w:separator/>
      </w:r>
    </w:p>
  </w:endnote>
  <w:endnote w:type="continuationSeparator" w:id="0">
    <w:p w:rsidR="008E72F9" w:rsidRDefault="008E72F9"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Pr="00150BFA" w:rsidRDefault="008E72F9" w:rsidP="008E72F9">
    <w:pPr>
      <w:jc w:val="center"/>
    </w:pPr>
    <w:r>
      <w:rPr>
        <w:noProof/>
        <w:lang w:eastAsia="ja-JP"/>
      </w:rPr>
      <w:drawing>
        <wp:inline distT="0" distB="0" distL="0" distR="0" wp14:anchorId="356B39CF" wp14:editId="6D95777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E72F9" w:rsidRDefault="008E72F9" w:rsidP="008E72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Default="008E72F9" w:rsidP="008E72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Default="008E72F9" w:rsidP="008E7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2F9" w:rsidRDefault="008E72F9" w:rsidP="002D2C99">
      <w:r>
        <w:separator/>
      </w:r>
    </w:p>
  </w:footnote>
  <w:footnote w:type="continuationSeparator" w:id="0">
    <w:p w:rsidR="008E72F9" w:rsidRDefault="008E72F9" w:rsidP="002D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Pr="00A45145" w:rsidRDefault="008E72F9" w:rsidP="008E72F9">
    <w:pPr>
      <w:jc w:val="center"/>
    </w:pPr>
    <w:r>
      <w:rPr>
        <w:noProof/>
        <w:lang w:eastAsia="ja-JP"/>
      </w:rPr>
      <w:drawing>
        <wp:inline distT="0" distB="0" distL="0" distR="0" wp14:anchorId="67072E95" wp14:editId="1992F26F">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E72F9" w:rsidRDefault="008E72F9"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Pr="00F5432B" w:rsidRDefault="008E72F9" w:rsidP="00F5432B">
    <w:pPr>
      <w:pStyle w:val="ECHRHeader"/>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062FB8">
      <w:rPr>
        <w:rStyle w:val="PageNumber"/>
        <w:noProof/>
        <w:lang w:val="fr-FR"/>
      </w:rPr>
      <w:t>1</w:t>
    </w:r>
    <w:r>
      <w:rPr>
        <w:rStyle w:val="PageNumber"/>
        <w:lang w:val="fr-FR"/>
      </w:rPr>
      <w:fldChar w:fldCharType="end"/>
    </w:r>
    <w:r w:rsidRPr="00F5432B">
      <w:rPr>
        <w:lang w:val="fr-FR"/>
      </w:rPr>
      <w:tab/>
      <w:t xml:space="preserve">ARRÊT </w:t>
    </w:r>
    <w:r>
      <w:rPr>
        <w:lang w:val="fr-FR"/>
      </w:rPr>
      <w:t>MAZZONI c. ITALIE</w:t>
    </w:r>
    <w:r w:rsidRPr="00F5432B">
      <w:rPr>
        <w:lang w:val="fr-F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F9" w:rsidRPr="007100AD" w:rsidRDefault="008E72F9" w:rsidP="00420F04">
    <w:pPr>
      <w:pStyle w:val="ECHRHeader"/>
    </w:pPr>
    <w:r>
      <w:tab/>
    </w:r>
    <w:r w:rsidRPr="00A7574A">
      <w:rPr>
        <w:lang w:val="en-GB"/>
      </w:rPr>
      <w:t xml:space="preserve">ARRÊT </w:t>
    </w:r>
    <w:r>
      <w:rPr>
        <w:lang w:val="en-GB"/>
      </w:rPr>
      <w:t>MAZZONI c. ITALIE</w:t>
    </w:r>
    <w:r w:rsidRPr="007100AD">
      <w:tab/>
    </w:r>
    <w:r>
      <w:rPr>
        <w:rStyle w:val="PageNumber"/>
        <w:lang w:val="en-GB"/>
      </w:rPr>
      <w:fldChar w:fldCharType="begin"/>
    </w:r>
    <w:r>
      <w:rPr>
        <w:rStyle w:val="PageNumber"/>
        <w:lang w:val="en-GB"/>
      </w:rPr>
      <w:instrText xml:space="preserve"> PAGE </w:instrText>
    </w:r>
    <w:r>
      <w:rPr>
        <w:rStyle w:val="PageNumber"/>
        <w:lang w:val="en-GB"/>
      </w:rPr>
      <w:fldChar w:fldCharType="separate"/>
    </w:r>
    <w:r w:rsidR="00062FB8">
      <w:rPr>
        <w:rStyle w:val="PageNumber"/>
        <w:noProof/>
        <w:lang w:val="en-GB"/>
      </w:rPr>
      <w:t>1</w:t>
    </w:r>
    <w:r>
      <w:rPr>
        <w:rStyle w:val="PageNumbe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F25A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02ED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E60D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AA4F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ListNumber"/>
      <w:lvlText w:val="%1."/>
      <w:lvlJc w:val="left"/>
      <w:pPr>
        <w:tabs>
          <w:tab w:val="num" w:pos="360"/>
        </w:tabs>
        <w:ind w:left="360" w:hanging="360"/>
      </w:pPr>
    </w:lvl>
  </w:abstractNum>
  <w:abstractNum w:abstractNumId="9">
    <w:nsid w:val="FFFFFF89"/>
    <w:multiLevelType w:val="singleLevel"/>
    <w:tmpl w:val="88CC5F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363396"/>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27063F06"/>
    <w:multiLevelType w:val="multilevel"/>
    <w:tmpl w:val="040C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08A09AC"/>
    <w:multiLevelType w:val="hybridMultilevel"/>
    <w:tmpl w:val="7B06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D7306C"/>
    <w:multiLevelType w:val="multilevel"/>
    <w:tmpl w:val="040C0023"/>
    <w:styleLink w:val="ArticleSection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2"/>
  </w:num>
  <w:num w:numId="6">
    <w:abstractNumId w:val="16"/>
  </w:num>
  <w:num w:numId="7">
    <w:abstractNumId w:val="12"/>
  </w:num>
  <w:num w:numId="8">
    <w:abstractNumId w:val="7"/>
  </w:num>
  <w:num w:numId="9">
    <w:abstractNumId w:val="21"/>
  </w:num>
  <w:num w:numId="10">
    <w:abstractNumId w:val="19"/>
  </w:num>
  <w:num w:numId="11">
    <w:abstractNumId w:val="11"/>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0"/>
  </w:num>
  <w:num w:numId="23">
    <w:abstractNumId w:val="2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5"/>
  </w:num>
  <w:num w:numId="2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8E72F9"/>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2FB8"/>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D33"/>
    <w:rsid w:val="00134D64"/>
    <w:rsid w:val="00135A30"/>
    <w:rsid w:val="0013612C"/>
    <w:rsid w:val="00137FF6"/>
    <w:rsid w:val="00141650"/>
    <w:rsid w:val="00162A12"/>
    <w:rsid w:val="00166530"/>
    <w:rsid w:val="001832BD"/>
    <w:rsid w:val="0019294A"/>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0E7"/>
    <w:rsid w:val="002115FC"/>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94E48"/>
    <w:rsid w:val="002A01CC"/>
    <w:rsid w:val="002A61B1"/>
    <w:rsid w:val="002A663C"/>
    <w:rsid w:val="002B444B"/>
    <w:rsid w:val="002B5887"/>
    <w:rsid w:val="002C0E27"/>
    <w:rsid w:val="002C3040"/>
    <w:rsid w:val="002D022D"/>
    <w:rsid w:val="002D24BB"/>
    <w:rsid w:val="002D2C99"/>
    <w:rsid w:val="002F0DEB"/>
    <w:rsid w:val="002F2AF7"/>
    <w:rsid w:val="002F7E1C"/>
    <w:rsid w:val="00301A75"/>
    <w:rsid w:val="00302F70"/>
    <w:rsid w:val="0030336F"/>
    <w:rsid w:val="0030375E"/>
    <w:rsid w:val="00312A30"/>
    <w:rsid w:val="00320F72"/>
    <w:rsid w:val="0032463E"/>
    <w:rsid w:val="00326224"/>
    <w:rsid w:val="00335940"/>
    <w:rsid w:val="00337EE4"/>
    <w:rsid w:val="00340FFD"/>
    <w:rsid w:val="003506B1"/>
    <w:rsid w:val="00356AC7"/>
    <w:rsid w:val="003609FA"/>
    <w:rsid w:val="003710C8"/>
    <w:rsid w:val="003750BE"/>
    <w:rsid w:val="00387B9D"/>
    <w:rsid w:val="0039364F"/>
    <w:rsid w:val="00396686"/>
    <w:rsid w:val="0039778E"/>
    <w:rsid w:val="003B4941"/>
    <w:rsid w:val="003B6BB6"/>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55C00"/>
    <w:rsid w:val="00461DB0"/>
    <w:rsid w:val="00463926"/>
    <w:rsid w:val="00464C9A"/>
    <w:rsid w:val="00471BFC"/>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4B52"/>
    <w:rsid w:val="005D67A3"/>
    <w:rsid w:val="005E2988"/>
    <w:rsid w:val="005E3085"/>
    <w:rsid w:val="005E7052"/>
    <w:rsid w:val="005F49AB"/>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33BE"/>
    <w:rsid w:val="006F48CA"/>
    <w:rsid w:val="006F64DD"/>
    <w:rsid w:val="00715127"/>
    <w:rsid w:val="00715E8E"/>
    <w:rsid w:val="00723580"/>
    <w:rsid w:val="00723755"/>
    <w:rsid w:val="00723D67"/>
    <w:rsid w:val="0073136C"/>
    <w:rsid w:val="00731F0F"/>
    <w:rsid w:val="00733250"/>
    <w:rsid w:val="00741404"/>
    <w:rsid w:val="007449E5"/>
    <w:rsid w:val="00745D7E"/>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46992"/>
    <w:rsid w:val="00851EF9"/>
    <w:rsid w:val="00852914"/>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5D44"/>
    <w:rsid w:val="008E6A25"/>
    <w:rsid w:val="008E72F9"/>
    <w:rsid w:val="008F5193"/>
    <w:rsid w:val="009013A7"/>
    <w:rsid w:val="009017FB"/>
    <w:rsid w:val="009017FC"/>
    <w:rsid w:val="0090506B"/>
    <w:rsid w:val="009050C9"/>
    <w:rsid w:val="009066FC"/>
    <w:rsid w:val="009140A3"/>
    <w:rsid w:val="009144A2"/>
    <w:rsid w:val="0091510C"/>
    <w:rsid w:val="00916FB7"/>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3A3A"/>
    <w:rsid w:val="009E776C"/>
    <w:rsid w:val="009F65DC"/>
    <w:rsid w:val="00A1726E"/>
    <w:rsid w:val="00A204CF"/>
    <w:rsid w:val="00A23D49"/>
    <w:rsid w:val="00A27004"/>
    <w:rsid w:val="00A30C29"/>
    <w:rsid w:val="00A34DD6"/>
    <w:rsid w:val="00A36819"/>
    <w:rsid w:val="00A36989"/>
    <w:rsid w:val="00A43628"/>
    <w:rsid w:val="00A44BA5"/>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E5750"/>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306B"/>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468C"/>
    <w:rsid w:val="00DC4C72"/>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3C4E"/>
    <w:rsid w:val="00E849F7"/>
    <w:rsid w:val="00E90302"/>
    <w:rsid w:val="00E97396"/>
    <w:rsid w:val="00EA185E"/>
    <w:rsid w:val="00EA592A"/>
    <w:rsid w:val="00EA6476"/>
    <w:rsid w:val="00EB0D62"/>
    <w:rsid w:val="00EB14E4"/>
    <w:rsid w:val="00EB32A5"/>
    <w:rsid w:val="00EB34ED"/>
    <w:rsid w:val="00EB7BE0"/>
    <w:rsid w:val="00EC315E"/>
    <w:rsid w:val="00ED077C"/>
    <w:rsid w:val="00ED1190"/>
    <w:rsid w:val="00ED6544"/>
    <w:rsid w:val="00EE0277"/>
    <w:rsid w:val="00EE3E00"/>
    <w:rsid w:val="00EE5DD2"/>
    <w:rsid w:val="00EF1A31"/>
    <w:rsid w:val="00F00A79"/>
    <w:rsid w:val="00F00E86"/>
    <w:rsid w:val="00F07C1E"/>
    <w:rsid w:val="00F105DB"/>
    <w:rsid w:val="00F10FD9"/>
    <w:rsid w:val="00F132BC"/>
    <w:rsid w:val="00F13D80"/>
    <w:rsid w:val="00F16AAA"/>
    <w:rsid w:val="00F21161"/>
    <w:rsid w:val="00F218EF"/>
    <w:rsid w:val="00F21BC7"/>
    <w:rsid w:val="00F266A2"/>
    <w:rsid w:val="00F32269"/>
    <w:rsid w:val="00F334C1"/>
    <w:rsid w:val="00F3569E"/>
    <w:rsid w:val="00F5432B"/>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qFormat/>
    <w:rsid w:val="002D2C99"/>
    <w:rPr>
      <w:b/>
      <w:bCs/>
    </w:rPr>
  </w:style>
  <w:style w:type="paragraph" w:styleId="NoSpacing">
    <w:name w:val="No Spacing"/>
    <w:basedOn w:val="Normal"/>
    <w:link w:val="NoSpacingChar"/>
    <w:qFormat/>
    <w:rsid w:val="002D2C99"/>
    <w:rPr>
      <w:sz w:val="22"/>
    </w:rPr>
  </w:style>
  <w:style w:type="character" w:customStyle="1" w:styleId="NoSpacingChar">
    <w:name w:val="No Spacing Char"/>
    <w:basedOn w:val="DefaultParagraphFont"/>
    <w:link w:val="NoSpacing"/>
    <w:rsid w:val="002D2C99"/>
    <w:rPr>
      <w:rFonts w:eastAsiaTheme="minorEastAsia"/>
    </w:rPr>
  </w:style>
  <w:style w:type="paragraph" w:customStyle="1" w:styleId="ECHRParaQuote">
    <w:name w:val="ECHR_Para_Quote"/>
    <w:aliases w:val="Ju_Quot,Para_Quote"/>
    <w:basedOn w:val="Normal"/>
    <w:uiPriority w:val="14"/>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Title_L_1"/>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2D2C99"/>
    <w:pPr>
      <w:tabs>
        <w:tab w:val="center" w:pos="6407"/>
      </w:tabs>
      <w:spacing w:before="720"/>
      <w:jc w:val="right"/>
    </w:pPr>
  </w:style>
  <w:style w:type="paragraph" w:customStyle="1" w:styleId="JuSigned">
    <w:name w:val="Ju_Signed"/>
    <w:basedOn w:val="Normal"/>
    <w:next w:val="JuParaLast"/>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99"/>
    <w:semiHidden/>
    <w:rsid w:val="008D4752"/>
  </w:style>
  <w:style w:type="character" w:customStyle="1" w:styleId="Heading1Char">
    <w:name w:val="Heading 1 Char"/>
    <w:basedOn w:val="DefaultParagraphFont"/>
    <w:link w:val="Heading1"/>
    <w:uiPriority w:val="99"/>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qFormat/>
    <w:rsid w:val="002D2C99"/>
    <w:rPr>
      <w:b/>
      <w:bCs/>
    </w:rPr>
  </w:style>
  <w:style w:type="paragraph" w:styleId="IntenseQuote">
    <w:name w:val="Intense Quote"/>
    <w:basedOn w:val="Normal"/>
    <w:next w:val="Normal"/>
    <w:link w:val="IntenseQuoteChar"/>
    <w:uiPriority w:val="99"/>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2D2C99"/>
    <w:rPr>
      <w:rFonts w:eastAsiaTheme="minorEastAsia"/>
      <w:b/>
      <w:bCs/>
      <w:i/>
      <w:iCs/>
      <w:lang w:bidi="en-US"/>
    </w:rPr>
  </w:style>
  <w:style w:type="character" w:styleId="IntenseReference">
    <w:name w:val="Intense Reference"/>
    <w:uiPriority w:val="99"/>
    <w:qFormat/>
    <w:rsid w:val="002D2C99"/>
    <w:rPr>
      <w:smallCaps/>
      <w:spacing w:val="5"/>
      <w:u w:val="single"/>
    </w:rPr>
  </w:style>
  <w:style w:type="paragraph" w:styleId="ListParagraph">
    <w:name w:val="List Paragraph"/>
    <w:basedOn w:val="Normal"/>
    <w:uiPriority w:val="99"/>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rsid w:val="002D2C99"/>
    <w:rPr>
      <w:rFonts w:eastAsiaTheme="minorEastAsia"/>
      <w:i/>
      <w:iCs/>
      <w:lang w:bidi="en-US"/>
    </w:rPr>
  </w:style>
  <w:style w:type="character" w:styleId="SubtleReference">
    <w:name w:val="Subtle Reference"/>
    <w:uiPriority w:val="99"/>
    <w:qFormat/>
    <w:rsid w:val="002D2C99"/>
    <w:rPr>
      <w:smallCaps/>
    </w:rPr>
  </w:style>
  <w:style w:type="table" w:styleId="TableGrid">
    <w:name w:val="Table Grid"/>
    <w:basedOn w:val="TableNormal"/>
    <w:uiPriority w:val="99"/>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9"/>
      </w:numPr>
    </w:pPr>
  </w:style>
  <w:style w:type="numbering" w:styleId="1ai">
    <w:name w:val="Outline List 1"/>
    <w:basedOn w:val="NoList"/>
    <w:uiPriority w:val="99"/>
    <w:semiHidden/>
    <w:unhideWhenUsed/>
    <w:rsid w:val="002D2C99"/>
    <w:pPr>
      <w:numPr>
        <w:numId w:val="10"/>
      </w:numPr>
    </w:pPr>
  </w:style>
  <w:style w:type="paragraph" w:customStyle="1" w:styleId="ECHRPara">
    <w:name w:val="ECHR_Para"/>
    <w:aliases w:val="Ju_Para,Para,Left,First line:  0 cm"/>
    <w:basedOn w:val="Normal"/>
    <w:link w:val="JuParaChar"/>
    <w:uiPriority w:val="12"/>
    <w:qFormat/>
    <w:rsid w:val="002D2C99"/>
    <w:pPr>
      <w:ind w:firstLine="284"/>
    </w:pPr>
  </w:style>
  <w:style w:type="numbering" w:styleId="ArticleSection">
    <w:name w:val="Outline List 3"/>
    <w:basedOn w:val="NoList"/>
    <w:uiPriority w:val="99"/>
    <w:semiHidden/>
    <w:unhideWhenUsed/>
    <w:rsid w:val="002D2C99"/>
    <w:pPr>
      <w:numPr>
        <w:numId w:val="11"/>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9"/>
    <w:semiHidden/>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8"/>
      </w:numPr>
      <w:contextualSpacing/>
    </w:pPr>
  </w:style>
  <w:style w:type="character" w:customStyle="1" w:styleId="BodyText2Char">
    <w:name w:val="Body Text 2 Char"/>
    <w:basedOn w:val="DefaultParagraphFont"/>
    <w:link w:val="BodyText2"/>
    <w:uiPriority w:val="99"/>
    <w:semiHidden/>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uiPriority w:val="99"/>
    <w:semiHidden/>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uiPriority w:val="99"/>
    <w:semiHidden/>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uiPriority w:val="99"/>
    <w:semiHidden/>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uiPriority w:val="99"/>
    <w:semiHidden/>
    <w:rsid w:val="002D2C99"/>
    <w:rPr>
      <w:rFonts w:eastAsiaTheme="minorEastAsia"/>
      <w:sz w:val="24"/>
    </w:rPr>
  </w:style>
  <w:style w:type="table" w:styleId="ColorfulGrid">
    <w:name w:val="Colorful Grid"/>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uiPriority w:val="99"/>
    <w:semiHidden/>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uiPriority w:val="99"/>
    <w:semiHidden/>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uiPriority w:val="99"/>
    <w:semiHidden/>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12"/>
      </w:numPr>
      <w:contextualSpacing/>
    </w:pPr>
  </w:style>
  <w:style w:type="paragraph" w:styleId="ListBullet3">
    <w:name w:val="List Bullet 3"/>
    <w:basedOn w:val="Normal"/>
    <w:uiPriority w:val="99"/>
    <w:semiHidden/>
    <w:rsid w:val="002D2C99"/>
    <w:pPr>
      <w:numPr>
        <w:numId w:val="13"/>
      </w:numPr>
      <w:contextualSpacing/>
    </w:pPr>
  </w:style>
  <w:style w:type="paragraph" w:styleId="ListBullet4">
    <w:name w:val="List Bullet 4"/>
    <w:basedOn w:val="Normal"/>
    <w:uiPriority w:val="99"/>
    <w:semiHidden/>
    <w:rsid w:val="002D2C99"/>
    <w:pPr>
      <w:numPr>
        <w:numId w:val="14"/>
      </w:numPr>
      <w:contextualSpacing/>
    </w:pPr>
  </w:style>
  <w:style w:type="paragraph" w:styleId="ListBullet5">
    <w:name w:val="List Bullet 5"/>
    <w:basedOn w:val="Normal"/>
    <w:uiPriority w:val="99"/>
    <w:semiHidden/>
    <w:rsid w:val="002D2C99"/>
    <w:pPr>
      <w:numPr>
        <w:numId w:val="15"/>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16"/>
      </w:numPr>
      <w:contextualSpacing/>
    </w:pPr>
  </w:style>
  <w:style w:type="paragraph" w:styleId="ListNumber2">
    <w:name w:val="List Number 2"/>
    <w:basedOn w:val="Normal"/>
    <w:uiPriority w:val="99"/>
    <w:semiHidden/>
    <w:rsid w:val="002D2C99"/>
    <w:pPr>
      <w:numPr>
        <w:numId w:val="17"/>
      </w:numPr>
      <w:contextualSpacing/>
    </w:pPr>
  </w:style>
  <w:style w:type="paragraph" w:styleId="ListNumber3">
    <w:name w:val="List Number 3"/>
    <w:basedOn w:val="Normal"/>
    <w:uiPriority w:val="99"/>
    <w:semiHidden/>
    <w:rsid w:val="002D2C99"/>
    <w:pPr>
      <w:numPr>
        <w:numId w:val="18"/>
      </w:numPr>
      <w:contextualSpacing/>
    </w:pPr>
  </w:style>
  <w:style w:type="paragraph" w:styleId="ListNumber4">
    <w:name w:val="List Number 4"/>
    <w:basedOn w:val="Normal"/>
    <w:uiPriority w:val="99"/>
    <w:semiHidden/>
    <w:rsid w:val="002D2C99"/>
    <w:pPr>
      <w:numPr>
        <w:numId w:val="19"/>
      </w:numPr>
      <w:contextualSpacing/>
    </w:pPr>
  </w:style>
  <w:style w:type="paragraph" w:styleId="ListNumber5">
    <w:name w:val="List Number 5"/>
    <w:basedOn w:val="Normal"/>
    <w:uiPriority w:val="99"/>
    <w:semiHidden/>
    <w:rsid w:val="002D2C99"/>
    <w:pPr>
      <w:numPr>
        <w:numId w:val="20"/>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2C99"/>
    <w:rPr>
      <w:rFonts w:ascii="Consolas" w:eastAsiaTheme="minorEastAsia" w:hAnsi="Consolas" w:cs="Consolas"/>
      <w:sz w:val="20"/>
      <w:szCs w:val="20"/>
    </w:rPr>
  </w:style>
  <w:style w:type="table" w:styleId="MediumGrid1">
    <w:name w:val="Medium Grid 1"/>
    <w:basedOn w:val="TableNormal"/>
    <w:uiPriority w:val="99"/>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uiPriority w:val="99"/>
    <w:semiHidden/>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uiPriority w:val="99"/>
    <w:semiHidden/>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uiPriority w:val="99"/>
    <w:semiHidde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uiPriority w:val="99"/>
    <w:semiHidden/>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Names0">
    <w:name w:val="Ju_Names"/>
    <w:rsid w:val="008E72F9"/>
    <w:rPr>
      <w:rFonts w:ascii="Times New Roman" w:hAnsi="Times New Roman" w:cs="Times New Roman"/>
      <w:smallCaps/>
    </w:rPr>
  </w:style>
  <w:style w:type="numbering" w:customStyle="1" w:styleId="1111111">
    <w:name w:val="1 / 1.1 / 1.1.11"/>
    <w:basedOn w:val="NoList"/>
    <w:next w:val="111111"/>
    <w:uiPriority w:val="99"/>
    <w:semiHidden/>
    <w:rsid w:val="008E72F9"/>
    <w:pPr>
      <w:numPr>
        <w:numId w:val="21"/>
      </w:numPr>
    </w:pPr>
  </w:style>
  <w:style w:type="numbering" w:customStyle="1" w:styleId="1ai1">
    <w:name w:val="1 / a / i1"/>
    <w:basedOn w:val="NoList"/>
    <w:next w:val="1ai"/>
    <w:uiPriority w:val="99"/>
    <w:semiHidden/>
    <w:rsid w:val="008E72F9"/>
    <w:pPr>
      <w:numPr>
        <w:numId w:val="22"/>
      </w:numPr>
    </w:pPr>
  </w:style>
  <w:style w:type="numbering" w:customStyle="1" w:styleId="ArticleSection1">
    <w:name w:val="Article / Section1"/>
    <w:basedOn w:val="NoList"/>
    <w:next w:val="ArticleSection"/>
    <w:uiPriority w:val="99"/>
    <w:semiHidden/>
    <w:rsid w:val="008E72F9"/>
    <w:pPr>
      <w:numPr>
        <w:numId w:val="23"/>
      </w:numPr>
    </w:pPr>
  </w:style>
  <w:style w:type="numbering" w:customStyle="1" w:styleId="ECHRA1StyleNumberedList">
    <w:name w:val="ECHR_A1_Style_Numbered_List"/>
    <w:basedOn w:val="NoList"/>
    <w:rsid w:val="008E72F9"/>
    <w:pPr>
      <w:numPr>
        <w:numId w:val="25"/>
      </w:numPr>
    </w:pPr>
  </w:style>
  <w:style w:type="paragraph" w:customStyle="1" w:styleId="ECHRNumberedList1">
    <w:name w:val="ECHR_Numbered_List_1"/>
    <w:aliases w:val="Num_1"/>
    <w:basedOn w:val="Normal"/>
    <w:uiPriority w:val="9"/>
    <w:rsid w:val="008E72F9"/>
    <w:pPr>
      <w:numPr>
        <w:numId w:val="24"/>
      </w:numPr>
      <w:suppressAutoHyphens/>
      <w:spacing w:before="60" w:after="60"/>
      <w:jc w:val="left"/>
    </w:pPr>
    <w:rPr>
      <w:rFonts w:ascii="Times New Roman" w:hAnsi="Times New Roman" w:cs="Times New Roman"/>
      <w:szCs w:val="20"/>
      <w:lang w:val="fr-FR" w:eastAsia="fr-FR"/>
    </w:rPr>
  </w:style>
  <w:style w:type="paragraph" w:customStyle="1" w:styleId="ECHRNumberedList2">
    <w:name w:val="ECHR_Numbered_List_2"/>
    <w:aliases w:val="Num_2"/>
    <w:basedOn w:val="ECHRNumberedList1"/>
    <w:uiPriority w:val="9"/>
    <w:rsid w:val="008E72F9"/>
    <w:pPr>
      <w:numPr>
        <w:ilvl w:val="1"/>
      </w:numPr>
    </w:pPr>
  </w:style>
  <w:style w:type="paragraph" w:customStyle="1" w:styleId="ECHRNumberedList3">
    <w:name w:val="ECHR_Numbered_List_3"/>
    <w:aliases w:val="Num_3"/>
    <w:basedOn w:val="ECHRNumberedList2"/>
    <w:uiPriority w:val="9"/>
    <w:rsid w:val="008E72F9"/>
    <w:pPr>
      <w:numPr>
        <w:ilvl w:val="2"/>
      </w:numPr>
    </w:pPr>
  </w:style>
  <w:style w:type="character" w:customStyle="1" w:styleId="JuParaChar">
    <w:name w:val="Ju_Para Char"/>
    <w:basedOn w:val="DefaultParagraphFont"/>
    <w:link w:val="ECHRPara"/>
    <w:uiPriority w:val="12"/>
    <w:rsid w:val="008E72F9"/>
    <w:rPr>
      <w:rFonts w:eastAsiaTheme="minorEastAsia"/>
      <w:sz w:val="24"/>
    </w:rPr>
  </w:style>
  <w:style w:type="numbering" w:customStyle="1" w:styleId="ECHRA1StyleBulletedSquare">
    <w:name w:val="ECHR_A1_Style_Bulleted_Square"/>
    <w:basedOn w:val="NoList"/>
    <w:rsid w:val="008E72F9"/>
    <w:pPr>
      <w:numPr>
        <w:numId w:val="26"/>
      </w:numPr>
    </w:pPr>
  </w:style>
  <w:style w:type="paragraph" w:customStyle="1" w:styleId="ECHRBullet1">
    <w:name w:val="ECHR_Bullet_1"/>
    <w:aliases w:val="Bul_1"/>
    <w:basedOn w:val="Normal"/>
    <w:uiPriority w:val="8"/>
    <w:rsid w:val="008E72F9"/>
    <w:pPr>
      <w:numPr>
        <w:numId w:val="26"/>
      </w:numPr>
      <w:suppressAutoHyphens/>
      <w:spacing w:before="60" w:after="60"/>
    </w:pPr>
    <w:rPr>
      <w:rFonts w:ascii="Times New Roman" w:hAnsi="Times New Roman" w:cs="Times New Roman"/>
      <w:szCs w:val="20"/>
      <w:lang w:val="fr-FR" w:eastAsia="fr-FR"/>
    </w:rPr>
  </w:style>
  <w:style w:type="paragraph" w:customStyle="1" w:styleId="ECHRBullet2">
    <w:name w:val="ECHR_Bullet_2"/>
    <w:aliases w:val="Bul_2"/>
    <w:basedOn w:val="ECHRBullet1"/>
    <w:uiPriority w:val="8"/>
    <w:rsid w:val="008E72F9"/>
    <w:pPr>
      <w:numPr>
        <w:ilvl w:val="1"/>
      </w:numPr>
    </w:pPr>
  </w:style>
  <w:style w:type="paragraph" w:customStyle="1" w:styleId="ECHRBullet3">
    <w:name w:val="ECHR_Bullet_3"/>
    <w:aliases w:val="Bul_3"/>
    <w:basedOn w:val="ECHRBullet2"/>
    <w:uiPriority w:val="8"/>
    <w:rsid w:val="008E72F9"/>
    <w:pPr>
      <w:numPr>
        <w:ilvl w:val="2"/>
      </w:numPr>
    </w:pPr>
  </w:style>
  <w:style w:type="paragraph" w:customStyle="1" w:styleId="ECHRBullet4">
    <w:name w:val="ECHR_Bullet_4"/>
    <w:aliases w:val="Bul_4"/>
    <w:basedOn w:val="ECHRBullet3"/>
    <w:uiPriority w:val="8"/>
    <w:rsid w:val="008E72F9"/>
    <w:pPr>
      <w:numPr>
        <w:ilvl w:val="3"/>
      </w:numPr>
    </w:pPr>
  </w:style>
  <w:style w:type="paragraph" w:customStyle="1" w:styleId="s82ac4f2">
    <w:name w:val="s82ac4f2"/>
    <w:basedOn w:val="Normal"/>
    <w:rsid w:val="008E72F9"/>
    <w:pPr>
      <w:spacing w:before="100" w:beforeAutospacing="1" w:after="100" w:afterAutospacing="1"/>
      <w:jc w:val="left"/>
    </w:pPr>
    <w:rPr>
      <w:rFonts w:ascii="Times New Roman" w:eastAsia="Times New Roman" w:hAnsi="Times New Roman" w:cs="Times New Roman"/>
      <w:szCs w:val="24"/>
    </w:rPr>
  </w:style>
  <w:style w:type="character" w:customStyle="1" w:styleId="sb8d990e2">
    <w:name w:val="sb8d990e2"/>
    <w:basedOn w:val="DefaultParagraphFont"/>
    <w:rsid w:val="008E72F9"/>
  </w:style>
  <w:style w:type="paragraph" w:customStyle="1" w:styleId="se5d6d4c3">
    <w:name w:val="se5d6d4c3"/>
    <w:basedOn w:val="Normal"/>
    <w:rsid w:val="008E72F9"/>
    <w:pPr>
      <w:spacing w:before="100" w:beforeAutospacing="1" w:after="100" w:afterAutospacing="1"/>
      <w:jc w:val="left"/>
    </w:pPr>
    <w:rPr>
      <w:rFonts w:ascii="Times New Roman" w:eastAsia="Times New Roman" w:hAnsi="Times New Roman" w:cs="Times New Roman"/>
      <w:szCs w:val="24"/>
    </w:rPr>
  </w:style>
  <w:style w:type="character" w:customStyle="1" w:styleId="sdfc50a6a">
    <w:name w:val="sdfc50a6a"/>
    <w:basedOn w:val="DefaultParagraphFont"/>
    <w:rsid w:val="008E72F9"/>
  </w:style>
  <w:style w:type="character" w:customStyle="1" w:styleId="s6b621b36">
    <w:name w:val="s6b621b36"/>
    <w:basedOn w:val="DefaultParagraphFont"/>
    <w:rsid w:val="008E72F9"/>
  </w:style>
  <w:style w:type="character" w:customStyle="1" w:styleId="JuParaCar">
    <w:name w:val="Ju_Para Car"/>
    <w:uiPriority w:val="12"/>
    <w:rsid w:val="008E72F9"/>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toc 1" w:unhideWhenUsed="1"/>
    <w:lsdException w:name="toc 2" w:unhideWhenUsed="1"/>
    <w:lsdException w:name="toc 3" w:unhideWhenUsed="1"/>
    <w:lsdException w:name="toc 4" w:unhideWhenUsed="1"/>
    <w:lsdException w:name="toc 5" w:unhideWhenUsed="1"/>
    <w:lsdException w:name="footnote text" w:unhideWhenUsed="1"/>
    <w:lsdException w:name="header" w:unhideWhenUsed="1"/>
    <w:lsdException w:name="footer" w:unhideWhenUsed="1"/>
    <w:lsdException w:name="caption" w:qFormat="1"/>
    <w:lsdException w:name="footnote reference" w:unhideWhenUsed="1"/>
    <w:lsdException w:name="Title" w:semiHidden="0" w:qFormat="1"/>
    <w:lsdException w:name="Default Paragraph Font" w:uiPriority="1" w:unhideWhenUsed="1"/>
    <w:lsdException w:name="Subtitle" w:qFormat="1"/>
    <w:lsdException w:name="Hyperlink" w:unhideWhenUsed="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0"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qFormat="1"/>
    <w:lsdException w:name="Quote" w:semiHidden="0" w:qFormat="1"/>
    <w:lsdException w:name="Intense Quote" w:semiHidden="0" w:qFormat="1"/>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unhideWhenUsed="1" w:qFormat="1"/>
  </w:latentStyles>
  <w:style w:type="paragraph" w:default="1" w:styleId="Normal">
    <w:name w:val="Normal"/>
    <w:semiHidden/>
    <w:rsid w:val="002D2C99"/>
    <w:pPr>
      <w:jc w:val="both"/>
    </w:pPr>
    <w:rPr>
      <w:rFonts w:eastAsiaTheme="minorEastAsia"/>
      <w:sz w:val="24"/>
    </w:rPr>
  </w:style>
  <w:style w:type="paragraph" w:styleId="Heading1">
    <w:name w:val="heading 1"/>
    <w:basedOn w:val="Normal"/>
    <w:next w:val="Normal"/>
    <w:link w:val="Heading1Char"/>
    <w:uiPriority w:val="99"/>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2D2C99"/>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2D2C99"/>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2D2C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2D2C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qFormat/>
    <w:rsid w:val="002D2C99"/>
    <w:rPr>
      <w:i/>
      <w:iCs/>
      <w:smallCaps/>
      <w:spacing w:val="5"/>
    </w:rPr>
  </w:style>
  <w:style w:type="paragraph" w:customStyle="1" w:styleId="ECHRHeader">
    <w:name w:val="ECHR_Header"/>
    <w:aliases w:val="Ju_Header"/>
    <w:basedOn w:val="Header"/>
    <w:uiPriority w:val="4"/>
    <w:qFormat/>
    <w:rsid w:val="002D2C99"/>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ECHRPara"/>
    <w:uiPriority w:val="46"/>
    <w:qFormat/>
    <w:rsid w:val="002D2C99"/>
  </w:style>
  <w:style w:type="character" w:styleId="Strong">
    <w:name w:val="Strong"/>
    <w:uiPriority w:val="99"/>
    <w:qFormat/>
    <w:rsid w:val="002D2C99"/>
    <w:rPr>
      <w:b/>
      <w:bCs/>
    </w:rPr>
  </w:style>
  <w:style w:type="paragraph" w:styleId="NoSpacing">
    <w:name w:val="No Spacing"/>
    <w:basedOn w:val="Normal"/>
    <w:link w:val="NoSpacingChar"/>
    <w:qFormat/>
    <w:rsid w:val="002D2C99"/>
    <w:rPr>
      <w:sz w:val="22"/>
    </w:rPr>
  </w:style>
  <w:style w:type="character" w:customStyle="1" w:styleId="NoSpacingChar">
    <w:name w:val="No Spacing Char"/>
    <w:basedOn w:val="DefaultParagraphFont"/>
    <w:link w:val="NoSpacing"/>
    <w:rsid w:val="002D2C99"/>
    <w:rPr>
      <w:rFonts w:eastAsiaTheme="minorEastAsia"/>
    </w:rPr>
  </w:style>
  <w:style w:type="paragraph" w:customStyle="1" w:styleId="ECHRParaQuote">
    <w:name w:val="ECHR_Para_Quote"/>
    <w:aliases w:val="Ju_Quot,Para_Quote"/>
    <w:basedOn w:val="Normal"/>
    <w:uiPriority w:val="14"/>
    <w:qFormat/>
    <w:rsid w:val="002D2C99"/>
    <w:pPr>
      <w:spacing w:before="120" w:after="120"/>
      <w:ind w:left="425" w:firstLine="142"/>
    </w:pPr>
    <w:rPr>
      <w:sz w:val="20"/>
    </w:rPr>
  </w:style>
  <w:style w:type="paragraph" w:customStyle="1" w:styleId="JuParaSub">
    <w:name w:val="Ju_Para_Sub"/>
    <w:basedOn w:val="ECHRPara"/>
    <w:uiPriority w:val="13"/>
    <w:qFormat/>
    <w:rsid w:val="002D2C99"/>
    <w:pPr>
      <w:ind w:left="284"/>
    </w:pPr>
  </w:style>
  <w:style w:type="paragraph" w:customStyle="1" w:styleId="OpiParaSub">
    <w:name w:val="Opi_Para_Sub"/>
    <w:basedOn w:val="JuParaSub"/>
    <w:uiPriority w:val="47"/>
    <w:qFormat/>
    <w:rsid w:val="002D2C99"/>
  </w:style>
  <w:style w:type="paragraph" w:customStyle="1" w:styleId="OpiQuot">
    <w:name w:val="Opi_Quot"/>
    <w:basedOn w:val="ECHRParaQuote"/>
    <w:uiPriority w:val="48"/>
    <w:qFormat/>
    <w:rsid w:val="002D2C99"/>
  </w:style>
  <w:style w:type="paragraph" w:customStyle="1" w:styleId="OpiQuotSub">
    <w:name w:val="Opi_Quot_Sub"/>
    <w:basedOn w:val="JuQuotSub"/>
    <w:uiPriority w:val="49"/>
    <w:qFormat/>
    <w:rsid w:val="002D2C99"/>
  </w:style>
  <w:style w:type="paragraph" w:customStyle="1" w:styleId="ECHRTitleCentre3">
    <w:name w:val="ECHR_Title_Centre_3"/>
    <w:aliases w:val="Ju_H_Article"/>
    <w:basedOn w:val="Normal"/>
    <w:next w:val="ECHRParaQuote"/>
    <w:uiPriority w:val="27"/>
    <w:qFormat/>
    <w:rsid w:val="002D2C9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2D2C99"/>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2D2C99"/>
    <w:pPr>
      <w:ind w:left="567"/>
    </w:pPr>
  </w:style>
  <w:style w:type="paragraph" w:customStyle="1" w:styleId="ECHRTitle1">
    <w:name w:val="ECHR_Title_1"/>
    <w:aliases w:val="Ju_H_Head,Title_L_1"/>
    <w:basedOn w:val="Normal"/>
    <w:next w:val="ECHRPara"/>
    <w:uiPriority w:val="18"/>
    <w:qFormat/>
    <w:rsid w:val="002D2C99"/>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2D2C99"/>
    <w:pPr>
      <w:tabs>
        <w:tab w:val="center" w:pos="6407"/>
      </w:tabs>
      <w:spacing w:before="720"/>
      <w:jc w:val="right"/>
    </w:pPr>
  </w:style>
  <w:style w:type="paragraph" w:customStyle="1" w:styleId="JuSigned">
    <w:name w:val="Ju_Signed"/>
    <w:basedOn w:val="Normal"/>
    <w:next w:val="JuParaLast"/>
    <w:uiPriority w:val="32"/>
    <w:qFormat/>
    <w:rsid w:val="002D2C99"/>
    <w:pPr>
      <w:tabs>
        <w:tab w:val="center" w:pos="851"/>
        <w:tab w:val="center" w:pos="6407"/>
      </w:tabs>
      <w:spacing w:before="720"/>
      <w:jc w:val="left"/>
    </w:pPr>
  </w:style>
  <w:style w:type="paragraph" w:styleId="Title">
    <w:name w:val="Title"/>
    <w:basedOn w:val="Normal"/>
    <w:next w:val="Normal"/>
    <w:link w:val="TitleChar"/>
    <w:uiPriority w:val="99"/>
    <w:qFormat/>
    <w:rsid w:val="002D2C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2D2C99"/>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2D2C99"/>
    <w:pPr>
      <w:tabs>
        <w:tab w:val="clear" w:pos="357"/>
      </w:tabs>
      <w:outlineLvl w:val="1"/>
    </w:pPr>
    <w:rPr>
      <w:b/>
    </w:rPr>
  </w:style>
  <w:style w:type="character" w:customStyle="1" w:styleId="JUNAMES">
    <w:name w:val="JU_NAMES"/>
    <w:uiPriority w:val="17"/>
    <w:qFormat/>
    <w:rsid w:val="002D2C99"/>
    <w:rPr>
      <w:caps w:val="0"/>
      <w:smallCaps/>
    </w:rPr>
  </w:style>
  <w:style w:type="character" w:customStyle="1" w:styleId="JuITMark">
    <w:name w:val="Ju_ITMark"/>
    <w:basedOn w:val="DefaultParagraphFont"/>
    <w:uiPriority w:val="38"/>
    <w:qFormat/>
    <w:rsid w:val="002D2C99"/>
    <w:rPr>
      <w:vanish/>
      <w:color w:val="339966"/>
      <w:sz w:val="14"/>
    </w:rPr>
  </w:style>
  <w:style w:type="paragraph" w:customStyle="1" w:styleId="OpiTranslation">
    <w:name w:val="Opi_Translation"/>
    <w:basedOn w:val="Normal"/>
    <w:next w:val="OpiPara"/>
    <w:uiPriority w:val="40"/>
    <w:qFormat/>
    <w:rsid w:val="002D2C99"/>
    <w:pPr>
      <w:jc w:val="center"/>
      <w:outlineLvl w:val="0"/>
    </w:pPr>
    <w:rPr>
      <w:i/>
    </w:rPr>
  </w:style>
  <w:style w:type="paragraph" w:customStyle="1" w:styleId="JuCourt">
    <w:name w:val="Ju_Court"/>
    <w:basedOn w:val="Normal"/>
    <w:next w:val="Normal"/>
    <w:uiPriority w:val="16"/>
    <w:qFormat/>
    <w:rsid w:val="002D2C99"/>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2D2C9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Heading2"/>
    <w:next w:val="ECHRPara"/>
    <w:uiPriority w:val="20"/>
    <w:qFormat/>
    <w:rsid w:val="002D2C99"/>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2D2C99"/>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99"/>
    <w:semiHidden/>
    <w:rsid w:val="008D4752"/>
  </w:style>
  <w:style w:type="character" w:customStyle="1" w:styleId="Heading1Char">
    <w:name w:val="Heading 1 Char"/>
    <w:basedOn w:val="DefaultParagraphFont"/>
    <w:link w:val="Heading1"/>
    <w:uiPriority w:val="99"/>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Heading4"/>
    <w:next w:val="ECHRPara"/>
    <w:uiPriority w:val="22"/>
    <w:qFormat/>
    <w:rsid w:val="002D2C9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2D2C99"/>
    <w:pPr>
      <w:keepNext/>
      <w:keepLines/>
      <w:tabs>
        <w:tab w:val="left" w:pos="1191"/>
      </w:tabs>
      <w:spacing w:before="240" w:after="120"/>
      <w:ind w:left="1190" w:hanging="357"/>
    </w:pPr>
    <w:rPr>
      <w:b w:val="0"/>
      <w:i/>
      <w:color w:val="auto"/>
      <w:sz w:val="20"/>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Heading6"/>
    <w:next w:val="ECHRPara"/>
    <w:uiPriority w:val="24"/>
    <w:qFormat/>
    <w:rsid w:val="002D2C9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2D2C99"/>
    <w:pPr>
      <w:keepNext/>
      <w:keepLines/>
      <w:spacing w:before="240" w:after="120"/>
      <w:ind w:left="1236"/>
    </w:pPr>
    <w:rPr>
      <w:sz w:val="20"/>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
    <w:next w:val="ECHRPara"/>
    <w:uiPriority w:val="30"/>
    <w:qFormat/>
    <w:rsid w:val="002D2C99"/>
    <w:pPr>
      <w:keepNext/>
      <w:keepLines/>
      <w:spacing w:before="240"/>
      <w:ind w:firstLine="284"/>
    </w:pPr>
  </w:style>
  <w:style w:type="paragraph" w:customStyle="1" w:styleId="JuList">
    <w:name w:val="Ju_List"/>
    <w:basedOn w:val="Normal"/>
    <w:uiPriority w:val="28"/>
    <w:qFormat/>
    <w:rsid w:val="002D2C99"/>
    <w:pPr>
      <w:ind w:left="340" w:hanging="340"/>
    </w:p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JuLista">
    <w:name w:val="Ju_List_a"/>
    <w:basedOn w:val="JuList"/>
    <w:uiPriority w:val="28"/>
    <w:qFormat/>
    <w:rsid w:val="002D2C99"/>
    <w:pPr>
      <w:ind w:left="346" w:firstLine="0"/>
    </w:pPr>
  </w:style>
  <w:style w:type="character" w:customStyle="1" w:styleId="Heading5Char">
    <w:name w:val="Heading 5 Char"/>
    <w:basedOn w:val="DefaultParagraphFont"/>
    <w:link w:val="Heading5"/>
    <w:uiPriority w:val="99"/>
    <w:semiHidden/>
    <w:rsid w:val="002D2C99"/>
    <w:rPr>
      <w:rFonts w:asciiTheme="majorHAnsi" w:eastAsiaTheme="majorEastAsia" w:hAnsiTheme="majorHAnsi" w:cstheme="majorBidi"/>
      <w:b/>
      <w:bCs/>
      <w:color w:val="808080"/>
    </w:rPr>
  </w:style>
  <w:style w:type="paragraph" w:customStyle="1" w:styleId="JuListi">
    <w:name w:val="Ju_List_i"/>
    <w:basedOn w:val="Normal"/>
    <w:next w:val="JuLista"/>
    <w:uiPriority w:val="28"/>
    <w:qFormat/>
    <w:rsid w:val="002D2C99"/>
    <w:pPr>
      <w:ind w:left="794"/>
    </w:pPr>
  </w:style>
  <w:style w:type="paragraph" w:customStyle="1" w:styleId="OpiH1">
    <w:name w:val="Opi_H_1"/>
    <w:basedOn w:val="ECHRHeading2"/>
    <w:uiPriority w:val="42"/>
    <w:qFormat/>
    <w:rsid w:val="002D2C99"/>
    <w:pPr>
      <w:ind w:left="635" w:hanging="357"/>
      <w:outlineLvl w:val="2"/>
    </w:pPr>
  </w:style>
  <w:style w:type="character" w:styleId="SubtleEmphasis">
    <w:name w:val="Subtle Emphasis"/>
    <w:uiPriority w:val="99"/>
    <w:qFormat/>
    <w:rsid w:val="002D2C99"/>
    <w:rPr>
      <w:i/>
      <w:iCs/>
    </w:rPr>
  </w:style>
  <w:style w:type="paragraph" w:customStyle="1" w:styleId="OpiHa0">
    <w:name w:val="Opi_H_a"/>
    <w:basedOn w:val="ECHRHeading3"/>
    <w:uiPriority w:val="43"/>
    <w:qFormat/>
    <w:rsid w:val="002D2C99"/>
    <w:pPr>
      <w:ind w:left="833" w:hanging="357"/>
      <w:outlineLvl w:val="3"/>
    </w:pPr>
    <w:rPr>
      <w:b/>
      <w:i w:val="0"/>
      <w:sz w:val="2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2D2C99"/>
    <w:pPr>
      <w:ind w:left="1037" w:hanging="357"/>
      <w:outlineLvl w:val="4"/>
    </w:pPr>
    <w:rPr>
      <w:b w:val="0"/>
      <w:i/>
    </w:rPr>
  </w:style>
  <w:style w:type="paragraph" w:customStyle="1" w:styleId="DummyStyle">
    <w:name w:val="Dummy_Style"/>
    <w:basedOn w:val="Normal"/>
    <w:semiHidden/>
    <w:qFormat/>
    <w:rsid w:val="002D2C99"/>
    <w:rPr>
      <w:color w:val="00B050"/>
    </w:rPr>
  </w:style>
  <w:style w:type="paragraph" w:styleId="Subtitle">
    <w:name w:val="Subtitle"/>
    <w:basedOn w:val="Normal"/>
    <w:next w:val="Normal"/>
    <w:link w:val="SubtitleChar"/>
    <w:uiPriority w:val="99"/>
    <w:qFormat/>
    <w:rsid w:val="002D2C99"/>
    <w:pPr>
      <w:spacing w:after="600"/>
    </w:pPr>
    <w:rPr>
      <w:rFonts w:asciiTheme="majorHAnsi" w:eastAsiaTheme="majorEastAsia" w:hAnsiTheme="majorHAnsi" w:cstheme="majorBidi"/>
      <w:i/>
      <w:iCs/>
      <w:spacing w:val="13"/>
      <w:szCs w:val="24"/>
      <w:lang w:bidi="en-US"/>
    </w:rPr>
  </w:style>
  <w:style w:type="character" w:styleId="Emphasis">
    <w:name w:val="Emphasis"/>
    <w:uiPriority w:val="99"/>
    <w:qFormat/>
    <w:rsid w:val="002D2C99"/>
    <w:rPr>
      <w:b/>
      <w:bCs/>
      <w:i/>
      <w:iCs/>
      <w:spacing w:val="10"/>
      <w:bdr w:val="none" w:sz="0" w:space="0" w:color="auto"/>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A671F8"/>
    <w:rPr>
      <w:rFonts w:eastAsiaTheme="minorEastAsia"/>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2D2C99"/>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2D2C9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2D2C9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qFormat/>
    <w:rsid w:val="002D2C99"/>
    <w:rPr>
      <w:b/>
      <w:bCs/>
    </w:rPr>
  </w:style>
  <w:style w:type="paragraph" w:styleId="IntenseQuote">
    <w:name w:val="Intense Quote"/>
    <w:basedOn w:val="Normal"/>
    <w:next w:val="Normal"/>
    <w:link w:val="IntenseQuoteChar"/>
    <w:uiPriority w:val="99"/>
    <w:qFormat/>
    <w:rsid w:val="002D2C99"/>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2D2C99"/>
    <w:rPr>
      <w:rFonts w:eastAsiaTheme="minorEastAsia"/>
      <w:b/>
      <w:bCs/>
      <w:i/>
      <w:iCs/>
      <w:lang w:bidi="en-US"/>
    </w:rPr>
  </w:style>
  <w:style w:type="character" w:styleId="IntenseReference">
    <w:name w:val="Intense Reference"/>
    <w:uiPriority w:val="99"/>
    <w:qFormat/>
    <w:rsid w:val="002D2C99"/>
    <w:rPr>
      <w:smallCaps/>
      <w:spacing w:val="5"/>
      <w:u w:val="single"/>
    </w:rPr>
  </w:style>
  <w:style w:type="paragraph" w:styleId="ListParagraph">
    <w:name w:val="List Paragraph"/>
    <w:basedOn w:val="Normal"/>
    <w:uiPriority w:val="99"/>
    <w:qFormat/>
    <w:rsid w:val="002D2C99"/>
    <w:pPr>
      <w:ind w:left="720"/>
      <w:contextualSpacing/>
    </w:pPr>
  </w:style>
  <w:style w:type="table" w:customStyle="1" w:styleId="LtrTableAddress">
    <w:name w:val="Ltr_Table_Address"/>
    <w:basedOn w:val="TableNormal"/>
    <w:uiPriority w:val="99"/>
    <w:rsid w:val="001E6F32"/>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2D2C99"/>
    <w:pPr>
      <w:spacing w:before="200"/>
      <w:ind w:left="360" w:right="360"/>
    </w:pPr>
    <w:rPr>
      <w:i/>
      <w:iCs/>
      <w:sz w:val="22"/>
      <w:lang w:bidi="en-US"/>
    </w:rPr>
  </w:style>
  <w:style w:type="character" w:customStyle="1" w:styleId="QuoteChar">
    <w:name w:val="Quote Char"/>
    <w:basedOn w:val="DefaultParagraphFont"/>
    <w:link w:val="Quote"/>
    <w:uiPriority w:val="99"/>
    <w:rsid w:val="002D2C99"/>
    <w:rPr>
      <w:rFonts w:eastAsiaTheme="minorEastAsia"/>
      <w:i/>
      <w:iCs/>
      <w:lang w:bidi="en-US"/>
    </w:rPr>
  </w:style>
  <w:style w:type="character" w:styleId="SubtleReference">
    <w:name w:val="Subtle Reference"/>
    <w:uiPriority w:val="99"/>
    <w:qFormat/>
    <w:rsid w:val="002D2C99"/>
    <w:rPr>
      <w:smallCaps/>
    </w:rPr>
  </w:style>
  <w:style w:type="table" w:styleId="TableGrid">
    <w:name w:val="Table Grid"/>
    <w:basedOn w:val="TableNormal"/>
    <w:uiPriority w:val="99"/>
    <w:rsid w:val="00941747"/>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semiHidden/>
    <w:qFormat/>
    <w:rsid w:val="002D2C9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character" w:customStyle="1" w:styleId="SubtitleChar">
    <w:name w:val="Subtitle Char"/>
    <w:basedOn w:val="DefaultParagraphFont"/>
    <w:link w:val="Subtitle"/>
    <w:uiPriority w:val="99"/>
    <w:rsid w:val="002D2C9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2D2C99"/>
    <w:pPr>
      <w:numPr>
        <w:numId w:val="9"/>
      </w:numPr>
    </w:pPr>
  </w:style>
  <w:style w:type="numbering" w:styleId="1ai">
    <w:name w:val="Outline List 1"/>
    <w:basedOn w:val="NoList"/>
    <w:uiPriority w:val="99"/>
    <w:semiHidden/>
    <w:unhideWhenUsed/>
    <w:rsid w:val="002D2C99"/>
    <w:pPr>
      <w:numPr>
        <w:numId w:val="10"/>
      </w:numPr>
    </w:pPr>
  </w:style>
  <w:style w:type="paragraph" w:customStyle="1" w:styleId="ECHRPara">
    <w:name w:val="ECHR_Para"/>
    <w:aliases w:val="Ju_Para,Para,Left,First line:  0 cm"/>
    <w:basedOn w:val="Normal"/>
    <w:link w:val="JuParaChar"/>
    <w:uiPriority w:val="12"/>
    <w:qFormat/>
    <w:rsid w:val="002D2C99"/>
    <w:pPr>
      <w:ind w:firstLine="284"/>
    </w:pPr>
  </w:style>
  <w:style w:type="numbering" w:styleId="ArticleSection">
    <w:name w:val="Outline List 3"/>
    <w:basedOn w:val="NoList"/>
    <w:uiPriority w:val="99"/>
    <w:semiHidden/>
    <w:unhideWhenUsed/>
    <w:rsid w:val="002D2C99"/>
    <w:pPr>
      <w:numPr>
        <w:numId w:val="11"/>
      </w:numPr>
    </w:pPr>
  </w:style>
  <w:style w:type="table" w:customStyle="1" w:styleId="ECHRTableSimpleBox">
    <w:name w:val="ECHR_Table_Simple_Box"/>
    <w:basedOn w:val="TableNormal"/>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9"/>
    <w:semiHidden/>
    <w:rsid w:val="002D2C99"/>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BodyText">
    <w:name w:val="Body Text"/>
    <w:basedOn w:val="Normal"/>
    <w:link w:val="BodyTextChar"/>
    <w:uiPriority w:val="99"/>
    <w:semiHidden/>
    <w:rsid w:val="002D2C99"/>
    <w:pPr>
      <w:spacing w:after="120"/>
    </w:p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9"/>
    <w:semiHidden/>
    <w:rsid w:val="002D2C99"/>
    <w:rPr>
      <w:rFonts w:eastAsiaTheme="minorEastAsia"/>
      <w:sz w:val="24"/>
    </w:rPr>
  </w:style>
  <w:style w:type="paragraph" w:styleId="BodyText2">
    <w:name w:val="Body Text 2"/>
    <w:basedOn w:val="Normal"/>
    <w:link w:val="BodyText2Char"/>
    <w:uiPriority w:val="99"/>
    <w:semiHidden/>
    <w:rsid w:val="002D2C99"/>
    <w:pPr>
      <w:spacing w:after="120" w:line="480" w:lineRule="auto"/>
    </w:pPr>
  </w:style>
  <w:style w:type="table" w:customStyle="1" w:styleId="ECHRTableOddBanded">
    <w:name w:val="ECHR_Table_Odd_Banded"/>
    <w:basedOn w:val="TableNormal"/>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2D2C9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2D2C99"/>
    <w:pPr>
      <w:ind w:firstLine="284"/>
    </w:pPr>
    <w:rPr>
      <w:b/>
    </w:rPr>
  </w:style>
  <w:style w:type="character" w:styleId="PageNumber">
    <w:name w:val="page number"/>
    <w:uiPriority w:val="99"/>
    <w:semiHidden/>
    <w:rsid w:val="002D2C99"/>
    <w:rPr>
      <w:rFonts w:ascii="Times New Roman" w:hAnsi="Times New Roman" w:cs="Times New Roman"/>
      <w:sz w:val="18"/>
    </w:rPr>
  </w:style>
  <w:style w:type="paragraph" w:styleId="ListBullet2">
    <w:name w:val="List Bullet 2"/>
    <w:basedOn w:val="Normal"/>
    <w:uiPriority w:val="99"/>
    <w:semiHidden/>
    <w:rsid w:val="002D2C99"/>
    <w:pPr>
      <w:numPr>
        <w:numId w:val="8"/>
      </w:numPr>
      <w:contextualSpacing/>
    </w:pPr>
  </w:style>
  <w:style w:type="character" w:customStyle="1" w:styleId="BodyText2Char">
    <w:name w:val="Body Text 2 Char"/>
    <w:basedOn w:val="DefaultParagraphFont"/>
    <w:link w:val="BodyText2"/>
    <w:uiPriority w:val="99"/>
    <w:semiHidden/>
    <w:rsid w:val="002D2C99"/>
    <w:rPr>
      <w:rFonts w:eastAsiaTheme="minorEastAsia"/>
      <w:sz w:val="24"/>
    </w:rPr>
  </w:style>
  <w:style w:type="paragraph" w:styleId="BodyText3">
    <w:name w:val="Body Text 3"/>
    <w:basedOn w:val="Normal"/>
    <w:link w:val="BodyText3Char"/>
    <w:uiPriority w:val="99"/>
    <w:semiHidden/>
    <w:rsid w:val="002D2C99"/>
    <w:pPr>
      <w:spacing w:after="120"/>
    </w:pPr>
    <w:rPr>
      <w:sz w:val="16"/>
      <w:szCs w:val="16"/>
    </w:rPr>
  </w:style>
  <w:style w:type="character" w:customStyle="1" w:styleId="BodyText3Char">
    <w:name w:val="Body Text 3 Char"/>
    <w:basedOn w:val="DefaultParagraphFont"/>
    <w:link w:val="BodyText3"/>
    <w:uiPriority w:val="99"/>
    <w:semiHidden/>
    <w:rsid w:val="002D2C99"/>
    <w:rPr>
      <w:rFonts w:eastAsiaTheme="minorEastAsia"/>
      <w:sz w:val="16"/>
      <w:szCs w:val="16"/>
    </w:rPr>
  </w:style>
  <w:style w:type="paragraph" w:styleId="BodyTextFirstIndent">
    <w:name w:val="Body Text First Indent"/>
    <w:basedOn w:val="BodyText"/>
    <w:link w:val="BodyTextFirstIndentChar"/>
    <w:uiPriority w:val="99"/>
    <w:semiHidden/>
    <w:rsid w:val="002D2C99"/>
    <w:pPr>
      <w:spacing w:after="0"/>
      <w:ind w:firstLine="360"/>
    </w:pPr>
  </w:style>
  <w:style w:type="character" w:customStyle="1" w:styleId="BodyTextFirstIndentChar">
    <w:name w:val="Body Text First Indent Char"/>
    <w:basedOn w:val="BodyTextChar"/>
    <w:link w:val="BodyTextFirstIndent"/>
    <w:uiPriority w:val="99"/>
    <w:semiHidden/>
    <w:rsid w:val="002D2C99"/>
    <w:rPr>
      <w:rFonts w:eastAsiaTheme="minorEastAsia"/>
      <w:sz w:val="24"/>
    </w:rPr>
  </w:style>
  <w:style w:type="paragraph" w:styleId="BodyTextIndent">
    <w:name w:val="Body Text Indent"/>
    <w:basedOn w:val="Normal"/>
    <w:link w:val="BodyTextIndentChar"/>
    <w:uiPriority w:val="99"/>
    <w:semiHidden/>
    <w:rsid w:val="002D2C99"/>
    <w:pPr>
      <w:spacing w:after="120"/>
      <w:ind w:left="283"/>
    </w:pPr>
  </w:style>
  <w:style w:type="character" w:customStyle="1" w:styleId="BodyTextIndentChar">
    <w:name w:val="Body Text Indent Char"/>
    <w:basedOn w:val="DefaultParagraphFont"/>
    <w:link w:val="BodyTextIndent"/>
    <w:uiPriority w:val="99"/>
    <w:semiHidden/>
    <w:rsid w:val="002D2C99"/>
    <w:rPr>
      <w:rFonts w:eastAsiaTheme="minorEastAsia"/>
      <w:sz w:val="24"/>
    </w:rPr>
  </w:style>
  <w:style w:type="paragraph" w:styleId="BodyTextFirstIndent2">
    <w:name w:val="Body Text First Indent 2"/>
    <w:basedOn w:val="BodyTextIndent"/>
    <w:link w:val="BodyTextFirstIndent2Char"/>
    <w:uiPriority w:val="99"/>
    <w:semiHidden/>
    <w:rsid w:val="002D2C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D2C99"/>
    <w:rPr>
      <w:rFonts w:eastAsiaTheme="minorEastAsia"/>
      <w:sz w:val="24"/>
    </w:rPr>
  </w:style>
  <w:style w:type="paragraph" w:styleId="BodyTextIndent2">
    <w:name w:val="Body Text Indent 2"/>
    <w:basedOn w:val="Normal"/>
    <w:link w:val="BodyTextIndent2Char"/>
    <w:uiPriority w:val="99"/>
    <w:semiHidden/>
    <w:rsid w:val="002D2C99"/>
    <w:pPr>
      <w:spacing w:after="120" w:line="480" w:lineRule="auto"/>
      <w:ind w:left="283"/>
    </w:pPr>
  </w:style>
  <w:style w:type="character" w:customStyle="1" w:styleId="BodyTextIndent2Char">
    <w:name w:val="Body Text Indent 2 Char"/>
    <w:basedOn w:val="DefaultParagraphFont"/>
    <w:link w:val="BodyTextIndent2"/>
    <w:uiPriority w:val="99"/>
    <w:semiHidden/>
    <w:rsid w:val="002D2C99"/>
    <w:rPr>
      <w:rFonts w:eastAsiaTheme="minorEastAsia"/>
      <w:sz w:val="24"/>
    </w:rPr>
  </w:style>
  <w:style w:type="paragraph" w:styleId="BodyTextIndent3">
    <w:name w:val="Body Text Indent 3"/>
    <w:basedOn w:val="Normal"/>
    <w:link w:val="BodyTextIndent3Char"/>
    <w:uiPriority w:val="99"/>
    <w:semiHidden/>
    <w:rsid w:val="002D2C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D2C99"/>
    <w:rPr>
      <w:rFonts w:eastAsiaTheme="minorEastAsia"/>
      <w:sz w:val="16"/>
      <w:szCs w:val="16"/>
    </w:rPr>
  </w:style>
  <w:style w:type="paragraph" w:styleId="Caption">
    <w:name w:val="caption"/>
    <w:basedOn w:val="Normal"/>
    <w:next w:val="Normal"/>
    <w:uiPriority w:val="99"/>
    <w:semiHidden/>
    <w:qFormat/>
    <w:rsid w:val="002D2C99"/>
    <w:pPr>
      <w:spacing w:after="200"/>
    </w:pPr>
    <w:rPr>
      <w:b/>
      <w:bCs/>
      <w:color w:val="0072BC" w:themeColor="accent1"/>
      <w:sz w:val="18"/>
      <w:szCs w:val="18"/>
    </w:rPr>
  </w:style>
  <w:style w:type="paragraph" w:styleId="Closing">
    <w:name w:val="Closing"/>
    <w:basedOn w:val="Normal"/>
    <w:link w:val="ClosingChar"/>
    <w:uiPriority w:val="99"/>
    <w:semiHidden/>
    <w:rsid w:val="002D2C99"/>
    <w:pPr>
      <w:ind w:left="4252"/>
    </w:pPr>
  </w:style>
  <w:style w:type="character" w:customStyle="1" w:styleId="ClosingChar">
    <w:name w:val="Closing Char"/>
    <w:basedOn w:val="DefaultParagraphFont"/>
    <w:link w:val="Closing"/>
    <w:uiPriority w:val="99"/>
    <w:semiHidden/>
    <w:rsid w:val="002D2C99"/>
    <w:rPr>
      <w:rFonts w:eastAsiaTheme="minorEastAsia"/>
      <w:sz w:val="24"/>
    </w:rPr>
  </w:style>
  <w:style w:type="table" w:styleId="ColorfulGrid">
    <w:name w:val="Colorful Grid"/>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sid w:val="002D2C99"/>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sid w:val="002D2C9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2D2C99"/>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2D2C99"/>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rsid w:val="002D2C99"/>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2D2C99"/>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2D2C99"/>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D2C99"/>
    <w:rPr>
      <w:sz w:val="16"/>
      <w:szCs w:val="16"/>
    </w:rPr>
  </w:style>
  <w:style w:type="paragraph" w:styleId="CommentText">
    <w:name w:val="annotation text"/>
    <w:basedOn w:val="Normal"/>
    <w:link w:val="CommentTextChar"/>
    <w:uiPriority w:val="99"/>
    <w:semiHidden/>
    <w:rsid w:val="002D2C99"/>
    <w:rPr>
      <w:sz w:val="20"/>
      <w:szCs w:val="20"/>
    </w:rPr>
  </w:style>
  <w:style w:type="character" w:customStyle="1" w:styleId="CommentTextChar">
    <w:name w:val="Comment Text Char"/>
    <w:basedOn w:val="DefaultParagraphFont"/>
    <w:link w:val="CommentText"/>
    <w:uiPriority w:val="99"/>
    <w:semiHidden/>
    <w:rsid w:val="002D2C99"/>
    <w:rPr>
      <w:rFonts w:eastAsiaTheme="minorEastAsia"/>
      <w:sz w:val="20"/>
      <w:szCs w:val="20"/>
    </w:rPr>
  </w:style>
  <w:style w:type="paragraph" w:styleId="CommentSubject">
    <w:name w:val="annotation subject"/>
    <w:basedOn w:val="CommentText"/>
    <w:next w:val="CommentText"/>
    <w:link w:val="CommentSubjectChar"/>
    <w:uiPriority w:val="99"/>
    <w:semiHidden/>
    <w:rsid w:val="002D2C99"/>
    <w:rPr>
      <w:b/>
      <w:bCs/>
    </w:rPr>
  </w:style>
  <w:style w:type="character" w:customStyle="1" w:styleId="CommentSubjectChar">
    <w:name w:val="Comment Subject Char"/>
    <w:basedOn w:val="CommentTextChar"/>
    <w:link w:val="CommentSubject"/>
    <w:uiPriority w:val="99"/>
    <w:semiHidden/>
    <w:rsid w:val="002D2C99"/>
    <w:rPr>
      <w:rFonts w:eastAsiaTheme="minorEastAsia"/>
      <w:b/>
      <w:bCs/>
      <w:sz w:val="20"/>
      <w:szCs w:val="20"/>
    </w:rPr>
  </w:style>
  <w:style w:type="table" w:styleId="DarkList">
    <w:name w:val="Dark List"/>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sid w:val="002D2C99"/>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2D2C99"/>
  </w:style>
  <w:style w:type="character" w:customStyle="1" w:styleId="DateChar">
    <w:name w:val="Date Char"/>
    <w:basedOn w:val="DefaultParagraphFont"/>
    <w:link w:val="Date"/>
    <w:uiPriority w:val="99"/>
    <w:semiHidden/>
    <w:rsid w:val="002D2C99"/>
    <w:rPr>
      <w:rFonts w:eastAsiaTheme="minorEastAsia"/>
      <w:sz w:val="24"/>
    </w:rPr>
  </w:style>
  <w:style w:type="paragraph" w:styleId="DocumentMap">
    <w:name w:val="Document Map"/>
    <w:basedOn w:val="Normal"/>
    <w:link w:val="DocumentMapChar"/>
    <w:uiPriority w:val="99"/>
    <w:semiHidden/>
    <w:rsid w:val="002D2C99"/>
    <w:rPr>
      <w:rFonts w:ascii="Tahoma" w:hAnsi="Tahoma" w:cs="Tahoma"/>
      <w:sz w:val="16"/>
      <w:szCs w:val="16"/>
    </w:rPr>
  </w:style>
  <w:style w:type="character" w:customStyle="1" w:styleId="DocumentMapChar">
    <w:name w:val="Document Map Char"/>
    <w:basedOn w:val="DefaultParagraphFont"/>
    <w:link w:val="DocumentMap"/>
    <w:uiPriority w:val="99"/>
    <w:semiHidden/>
    <w:rsid w:val="002D2C99"/>
    <w:rPr>
      <w:rFonts w:ascii="Tahoma" w:eastAsiaTheme="minorEastAsia" w:hAnsi="Tahoma" w:cs="Tahoma"/>
      <w:sz w:val="16"/>
      <w:szCs w:val="16"/>
    </w:rPr>
  </w:style>
  <w:style w:type="paragraph" w:styleId="E-mailSignature">
    <w:name w:val="E-mail Signature"/>
    <w:basedOn w:val="Normal"/>
    <w:link w:val="E-mailSignatureChar"/>
    <w:uiPriority w:val="99"/>
    <w:semiHidden/>
    <w:rsid w:val="002D2C99"/>
  </w:style>
  <w:style w:type="character" w:customStyle="1" w:styleId="E-mailSignatureChar">
    <w:name w:val="E-mail Signature Char"/>
    <w:basedOn w:val="DefaultParagraphFont"/>
    <w:link w:val="E-mailSignature"/>
    <w:uiPriority w:val="99"/>
    <w:semiHidden/>
    <w:rsid w:val="002D2C99"/>
    <w:rPr>
      <w:rFonts w:eastAsiaTheme="minorEastAsia"/>
      <w:sz w:val="24"/>
    </w:rPr>
  </w:style>
  <w:style w:type="character" w:styleId="EndnoteReference">
    <w:name w:val="endnote reference"/>
    <w:basedOn w:val="DefaultParagraphFont"/>
    <w:uiPriority w:val="99"/>
    <w:semiHidden/>
    <w:rsid w:val="002D2C99"/>
    <w:rPr>
      <w:vertAlign w:val="superscript"/>
    </w:rPr>
  </w:style>
  <w:style w:type="paragraph" w:styleId="EndnoteText">
    <w:name w:val="endnote text"/>
    <w:basedOn w:val="Normal"/>
    <w:link w:val="EndnoteTextChar"/>
    <w:uiPriority w:val="99"/>
    <w:semiHidden/>
    <w:rsid w:val="002D2C99"/>
    <w:rPr>
      <w:sz w:val="20"/>
      <w:szCs w:val="20"/>
    </w:rPr>
  </w:style>
  <w:style w:type="character" w:customStyle="1" w:styleId="EndnoteTextChar">
    <w:name w:val="Endnote Text Char"/>
    <w:basedOn w:val="DefaultParagraphFont"/>
    <w:link w:val="EndnoteText"/>
    <w:uiPriority w:val="99"/>
    <w:semiHidden/>
    <w:rsid w:val="002D2C99"/>
    <w:rPr>
      <w:rFonts w:eastAsiaTheme="minorEastAsia"/>
      <w:sz w:val="20"/>
      <w:szCs w:val="20"/>
    </w:rPr>
  </w:style>
  <w:style w:type="paragraph" w:styleId="EnvelopeAddress">
    <w:name w:val="envelope address"/>
    <w:basedOn w:val="Normal"/>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2D2C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2D2C99"/>
    <w:rPr>
      <w:color w:val="7030A0" w:themeColor="followedHyperlink"/>
      <w:u w:val="single"/>
    </w:rPr>
  </w:style>
  <w:style w:type="character" w:styleId="HTMLAcronym">
    <w:name w:val="HTML Acronym"/>
    <w:basedOn w:val="DefaultParagraphFont"/>
    <w:uiPriority w:val="99"/>
    <w:semiHidden/>
    <w:rsid w:val="002D2C99"/>
  </w:style>
  <w:style w:type="paragraph" w:styleId="HTMLAddress">
    <w:name w:val="HTML Address"/>
    <w:basedOn w:val="Normal"/>
    <w:link w:val="HTMLAddressChar"/>
    <w:uiPriority w:val="99"/>
    <w:semiHidden/>
    <w:rsid w:val="002D2C99"/>
    <w:rPr>
      <w:i/>
      <w:iCs/>
    </w:rPr>
  </w:style>
  <w:style w:type="character" w:customStyle="1" w:styleId="HTMLAddressChar">
    <w:name w:val="HTML Address Char"/>
    <w:basedOn w:val="DefaultParagraphFont"/>
    <w:link w:val="HTMLAddress"/>
    <w:uiPriority w:val="99"/>
    <w:semiHidden/>
    <w:rsid w:val="002D2C99"/>
    <w:rPr>
      <w:rFonts w:eastAsiaTheme="minorEastAsia"/>
      <w:i/>
      <w:iCs/>
      <w:sz w:val="24"/>
    </w:rPr>
  </w:style>
  <w:style w:type="character" w:styleId="HTMLCite">
    <w:name w:val="HTML Cite"/>
    <w:basedOn w:val="DefaultParagraphFont"/>
    <w:uiPriority w:val="99"/>
    <w:semiHidden/>
    <w:rsid w:val="002D2C99"/>
    <w:rPr>
      <w:i/>
      <w:iCs/>
    </w:rPr>
  </w:style>
  <w:style w:type="character" w:styleId="HTMLCode">
    <w:name w:val="HTML Code"/>
    <w:basedOn w:val="DefaultParagraphFont"/>
    <w:uiPriority w:val="99"/>
    <w:semiHidden/>
    <w:rsid w:val="002D2C99"/>
    <w:rPr>
      <w:rFonts w:ascii="Consolas" w:hAnsi="Consolas" w:cs="Consolas"/>
      <w:sz w:val="20"/>
      <w:szCs w:val="20"/>
    </w:rPr>
  </w:style>
  <w:style w:type="character" w:styleId="HTMLDefinition">
    <w:name w:val="HTML Definition"/>
    <w:basedOn w:val="DefaultParagraphFont"/>
    <w:uiPriority w:val="99"/>
    <w:semiHidden/>
    <w:rsid w:val="002D2C99"/>
    <w:rPr>
      <w:i/>
      <w:iCs/>
    </w:rPr>
  </w:style>
  <w:style w:type="character" w:styleId="HTMLKeyboard">
    <w:name w:val="HTML Keyboard"/>
    <w:basedOn w:val="DefaultParagraphFont"/>
    <w:uiPriority w:val="99"/>
    <w:semiHidden/>
    <w:rsid w:val="002D2C99"/>
    <w:rPr>
      <w:rFonts w:ascii="Consolas" w:hAnsi="Consolas" w:cs="Consolas"/>
      <w:sz w:val="20"/>
      <w:szCs w:val="20"/>
    </w:rPr>
  </w:style>
  <w:style w:type="paragraph" w:styleId="HTMLPreformatted">
    <w:name w:val="HTML Preformatted"/>
    <w:basedOn w:val="Normal"/>
    <w:link w:val="HTMLPreformattedChar"/>
    <w:uiPriority w:val="99"/>
    <w:semiHidden/>
    <w:rsid w:val="002D2C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D2C99"/>
    <w:rPr>
      <w:rFonts w:ascii="Consolas" w:eastAsiaTheme="minorEastAsia" w:hAnsi="Consolas" w:cs="Consolas"/>
      <w:sz w:val="20"/>
      <w:szCs w:val="20"/>
    </w:rPr>
  </w:style>
  <w:style w:type="character" w:styleId="HTMLSample">
    <w:name w:val="HTML Sample"/>
    <w:basedOn w:val="DefaultParagraphFont"/>
    <w:uiPriority w:val="99"/>
    <w:semiHidden/>
    <w:rsid w:val="002D2C99"/>
    <w:rPr>
      <w:rFonts w:ascii="Consolas" w:hAnsi="Consolas" w:cs="Consolas"/>
      <w:sz w:val="24"/>
      <w:szCs w:val="24"/>
    </w:rPr>
  </w:style>
  <w:style w:type="character" w:styleId="HTMLTypewriter">
    <w:name w:val="HTML Typewriter"/>
    <w:basedOn w:val="DefaultParagraphFont"/>
    <w:uiPriority w:val="99"/>
    <w:semiHidden/>
    <w:rsid w:val="002D2C99"/>
    <w:rPr>
      <w:rFonts w:ascii="Consolas" w:hAnsi="Consolas" w:cs="Consolas"/>
      <w:sz w:val="20"/>
      <w:szCs w:val="20"/>
    </w:rPr>
  </w:style>
  <w:style w:type="character" w:styleId="HTMLVariable">
    <w:name w:val="HTML Variable"/>
    <w:basedOn w:val="DefaultParagraphFont"/>
    <w:uiPriority w:val="99"/>
    <w:semiHidden/>
    <w:rsid w:val="002D2C99"/>
    <w:rPr>
      <w:i/>
      <w:iCs/>
    </w:rPr>
  </w:style>
  <w:style w:type="paragraph" w:styleId="Index1">
    <w:name w:val="index 1"/>
    <w:basedOn w:val="Normal"/>
    <w:next w:val="Normal"/>
    <w:autoRedefine/>
    <w:uiPriority w:val="99"/>
    <w:semiHidden/>
    <w:rsid w:val="002D2C99"/>
    <w:pPr>
      <w:ind w:left="240" w:hanging="240"/>
    </w:pPr>
  </w:style>
  <w:style w:type="paragraph" w:styleId="Index2">
    <w:name w:val="index 2"/>
    <w:basedOn w:val="Normal"/>
    <w:next w:val="Normal"/>
    <w:autoRedefine/>
    <w:uiPriority w:val="99"/>
    <w:semiHidden/>
    <w:rsid w:val="002D2C99"/>
    <w:pPr>
      <w:ind w:left="480" w:hanging="240"/>
    </w:pPr>
  </w:style>
  <w:style w:type="paragraph" w:styleId="Index3">
    <w:name w:val="index 3"/>
    <w:basedOn w:val="Normal"/>
    <w:next w:val="Normal"/>
    <w:autoRedefine/>
    <w:uiPriority w:val="99"/>
    <w:semiHidden/>
    <w:rsid w:val="002D2C99"/>
    <w:pPr>
      <w:ind w:left="720" w:hanging="240"/>
    </w:pPr>
  </w:style>
  <w:style w:type="paragraph" w:styleId="Index4">
    <w:name w:val="index 4"/>
    <w:basedOn w:val="Normal"/>
    <w:next w:val="Normal"/>
    <w:autoRedefine/>
    <w:uiPriority w:val="99"/>
    <w:semiHidden/>
    <w:rsid w:val="002D2C99"/>
    <w:pPr>
      <w:ind w:left="960" w:hanging="240"/>
    </w:pPr>
  </w:style>
  <w:style w:type="paragraph" w:styleId="Index5">
    <w:name w:val="index 5"/>
    <w:basedOn w:val="Normal"/>
    <w:next w:val="Normal"/>
    <w:autoRedefine/>
    <w:uiPriority w:val="99"/>
    <w:semiHidden/>
    <w:rsid w:val="002D2C99"/>
    <w:pPr>
      <w:ind w:left="1200" w:hanging="240"/>
    </w:pPr>
  </w:style>
  <w:style w:type="paragraph" w:styleId="Index6">
    <w:name w:val="index 6"/>
    <w:basedOn w:val="Normal"/>
    <w:next w:val="Normal"/>
    <w:autoRedefine/>
    <w:uiPriority w:val="99"/>
    <w:semiHidden/>
    <w:rsid w:val="002D2C99"/>
    <w:pPr>
      <w:ind w:left="1440" w:hanging="240"/>
    </w:pPr>
  </w:style>
  <w:style w:type="paragraph" w:styleId="Index7">
    <w:name w:val="index 7"/>
    <w:basedOn w:val="Normal"/>
    <w:next w:val="Normal"/>
    <w:autoRedefine/>
    <w:uiPriority w:val="99"/>
    <w:semiHidden/>
    <w:rsid w:val="002D2C99"/>
    <w:pPr>
      <w:ind w:left="1680" w:hanging="240"/>
    </w:pPr>
  </w:style>
  <w:style w:type="paragraph" w:styleId="Index8">
    <w:name w:val="index 8"/>
    <w:basedOn w:val="Normal"/>
    <w:next w:val="Normal"/>
    <w:autoRedefine/>
    <w:uiPriority w:val="99"/>
    <w:semiHidden/>
    <w:rsid w:val="002D2C99"/>
    <w:pPr>
      <w:ind w:left="1920" w:hanging="240"/>
    </w:pPr>
  </w:style>
  <w:style w:type="paragraph" w:styleId="Index9">
    <w:name w:val="index 9"/>
    <w:basedOn w:val="Normal"/>
    <w:next w:val="Normal"/>
    <w:autoRedefine/>
    <w:uiPriority w:val="99"/>
    <w:semiHidden/>
    <w:rsid w:val="002D2C99"/>
    <w:pPr>
      <w:ind w:left="2160" w:hanging="240"/>
    </w:pPr>
  </w:style>
  <w:style w:type="paragraph" w:styleId="IndexHeading">
    <w:name w:val="index heading"/>
    <w:basedOn w:val="Normal"/>
    <w:next w:val="Index1"/>
    <w:uiPriority w:val="99"/>
    <w:semiHidden/>
    <w:rsid w:val="002D2C99"/>
    <w:rPr>
      <w:rFonts w:asciiTheme="majorHAnsi" w:eastAsiaTheme="majorEastAsia" w:hAnsiTheme="majorHAnsi" w:cstheme="majorBidi"/>
      <w:b/>
      <w:bCs/>
    </w:rPr>
  </w:style>
  <w:style w:type="table" w:styleId="LightGrid">
    <w:name w:val="Light Grid"/>
    <w:basedOn w:val="TableNormal"/>
    <w:uiPriority w:val="99"/>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rsid w:val="002D2C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2D2C99"/>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rsid w:val="002D2C99"/>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rsid w:val="002D2C99"/>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rsid w:val="002D2C99"/>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rsid w:val="002D2C99"/>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rsid w:val="002D2C99"/>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sid w:val="002D2C9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2D2C99"/>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rsid w:val="002D2C99"/>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rsid w:val="002D2C99"/>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rsid w:val="002D2C99"/>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rsid w:val="002D2C99"/>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sid w:val="002D2C99"/>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2D2C99"/>
  </w:style>
  <w:style w:type="paragraph" w:styleId="List">
    <w:name w:val="List"/>
    <w:basedOn w:val="Normal"/>
    <w:uiPriority w:val="99"/>
    <w:semiHidden/>
    <w:rsid w:val="002D2C99"/>
    <w:pPr>
      <w:ind w:left="283" w:hanging="283"/>
      <w:contextualSpacing/>
    </w:pPr>
  </w:style>
  <w:style w:type="paragraph" w:styleId="List2">
    <w:name w:val="List 2"/>
    <w:basedOn w:val="Normal"/>
    <w:uiPriority w:val="99"/>
    <w:semiHidden/>
    <w:rsid w:val="002D2C99"/>
    <w:pPr>
      <w:ind w:left="566" w:hanging="283"/>
      <w:contextualSpacing/>
    </w:pPr>
  </w:style>
  <w:style w:type="paragraph" w:styleId="List3">
    <w:name w:val="List 3"/>
    <w:basedOn w:val="Normal"/>
    <w:uiPriority w:val="99"/>
    <w:semiHidden/>
    <w:rsid w:val="002D2C99"/>
    <w:pPr>
      <w:ind w:left="849" w:hanging="283"/>
      <w:contextualSpacing/>
    </w:pPr>
  </w:style>
  <w:style w:type="paragraph" w:styleId="List4">
    <w:name w:val="List 4"/>
    <w:basedOn w:val="Normal"/>
    <w:uiPriority w:val="99"/>
    <w:semiHidden/>
    <w:rsid w:val="002D2C99"/>
    <w:pPr>
      <w:ind w:left="1132" w:hanging="283"/>
      <w:contextualSpacing/>
    </w:pPr>
  </w:style>
  <w:style w:type="paragraph" w:styleId="List5">
    <w:name w:val="List 5"/>
    <w:basedOn w:val="Normal"/>
    <w:uiPriority w:val="99"/>
    <w:semiHidden/>
    <w:rsid w:val="002D2C99"/>
    <w:pPr>
      <w:ind w:left="1415" w:hanging="283"/>
      <w:contextualSpacing/>
    </w:pPr>
  </w:style>
  <w:style w:type="paragraph" w:styleId="ListBullet">
    <w:name w:val="List Bullet"/>
    <w:basedOn w:val="Normal"/>
    <w:uiPriority w:val="99"/>
    <w:semiHidden/>
    <w:rsid w:val="002D2C99"/>
    <w:pPr>
      <w:numPr>
        <w:numId w:val="12"/>
      </w:numPr>
      <w:contextualSpacing/>
    </w:pPr>
  </w:style>
  <w:style w:type="paragraph" w:styleId="ListBullet3">
    <w:name w:val="List Bullet 3"/>
    <w:basedOn w:val="Normal"/>
    <w:uiPriority w:val="99"/>
    <w:semiHidden/>
    <w:rsid w:val="002D2C99"/>
    <w:pPr>
      <w:numPr>
        <w:numId w:val="13"/>
      </w:numPr>
      <w:contextualSpacing/>
    </w:pPr>
  </w:style>
  <w:style w:type="paragraph" w:styleId="ListBullet4">
    <w:name w:val="List Bullet 4"/>
    <w:basedOn w:val="Normal"/>
    <w:uiPriority w:val="99"/>
    <w:semiHidden/>
    <w:rsid w:val="002D2C99"/>
    <w:pPr>
      <w:numPr>
        <w:numId w:val="14"/>
      </w:numPr>
      <w:contextualSpacing/>
    </w:pPr>
  </w:style>
  <w:style w:type="paragraph" w:styleId="ListBullet5">
    <w:name w:val="List Bullet 5"/>
    <w:basedOn w:val="Normal"/>
    <w:uiPriority w:val="99"/>
    <w:semiHidden/>
    <w:rsid w:val="002D2C99"/>
    <w:pPr>
      <w:numPr>
        <w:numId w:val="15"/>
      </w:numPr>
      <w:contextualSpacing/>
    </w:pPr>
  </w:style>
  <w:style w:type="paragraph" w:styleId="ListContinue">
    <w:name w:val="List Continue"/>
    <w:basedOn w:val="Normal"/>
    <w:uiPriority w:val="99"/>
    <w:semiHidden/>
    <w:rsid w:val="002D2C99"/>
    <w:pPr>
      <w:spacing w:after="120"/>
      <w:ind w:left="283"/>
      <w:contextualSpacing/>
    </w:pPr>
  </w:style>
  <w:style w:type="paragraph" w:styleId="ListContinue2">
    <w:name w:val="List Continue 2"/>
    <w:basedOn w:val="Normal"/>
    <w:uiPriority w:val="99"/>
    <w:semiHidden/>
    <w:rsid w:val="002D2C99"/>
    <w:pPr>
      <w:spacing w:after="120"/>
      <w:ind w:left="566"/>
      <w:contextualSpacing/>
    </w:pPr>
  </w:style>
  <w:style w:type="paragraph" w:styleId="ListContinue3">
    <w:name w:val="List Continue 3"/>
    <w:basedOn w:val="Normal"/>
    <w:uiPriority w:val="99"/>
    <w:semiHidden/>
    <w:rsid w:val="002D2C99"/>
    <w:pPr>
      <w:spacing w:after="120"/>
      <w:ind w:left="849"/>
      <w:contextualSpacing/>
    </w:pPr>
  </w:style>
  <w:style w:type="paragraph" w:styleId="ListContinue4">
    <w:name w:val="List Continue 4"/>
    <w:basedOn w:val="Normal"/>
    <w:uiPriority w:val="99"/>
    <w:semiHidden/>
    <w:rsid w:val="002D2C99"/>
    <w:pPr>
      <w:spacing w:after="120"/>
      <w:ind w:left="1132"/>
      <w:contextualSpacing/>
    </w:pPr>
  </w:style>
  <w:style w:type="paragraph" w:styleId="ListContinue5">
    <w:name w:val="List Continue 5"/>
    <w:basedOn w:val="Normal"/>
    <w:uiPriority w:val="99"/>
    <w:semiHidden/>
    <w:rsid w:val="002D2C99"/>
    <w:pPr>
      <w:spacing w:after="120"/>
      <w:ind w:left="1415"/>
      <w:contextualSpacing/>
    </w:pPr>
  </w:style>
  <w:style w:type="paragraph" w:styleId="ListNumber">
    <w:name w:val="List Number"/>
    <w:basedOn w:val="Normal"/>
    <w:uiPriority w:val="99"/>
    <w:semiHidden/>
    <w:rsid w:val="002D2C99"/>
    <w:pPr>
      <w:numPr>
        <w:numId w:val="16"/>
      </w:numPr>
      <w:contextualSpacing/>
    </w:pPr>
  </w:style>
  <w:style w:type="paragraph" w:styleId="ListNumber2">
    <w:name w:val="List Number 2"/>
    <w:basedOn w:val="Normal"/>
    <w:uiPriority w:val="99"/>
    <w:semiHidden/>
    <w:rsid w:val="002D2C99"/>
    <w:pPr>
      <w:numPr>
        <w:numId w:val="17"/>
      </w:numPr>
      <w:contextualSpacing/>
    </w:pPr>
  </w:style>
  <w:style w:type="paragraph" w:styleId="ListNumber3">
    <w:name w:val="List Number 3"/>
    <w:basedOn w:val="Normal"/>
    <w:uiPriority w:val="99"/>
    <w:semiHidden/>
    <w:rsid w:val="002D2C99"/>
    <w:pPr>
      <w:numPr>
        <w:numId w:val="18"/>
      </w:numPr>
      <w:contextualSpacing/>
    </w:pPr>
  </w:style>
  <w:style w:type="paragraph" w:styleId="ListNumber4">
    <w:name w:val="List Number 4"/>
    <w:basedOn w:val="Normal"/>
    <w:uiPriority w:val="99"/>
    <w:semiHidden/>
    <w:rsid w:val="002D2C99"/>
    <w:pPr>
      <w:numPr>
        <w:numId w:val="19"/>
      </w:numPr>
      <w:contextualSpacing/>
    </w:pPr>
  </w:style>
  <w:style w:type="paragraph" w:styleId="ListNumber5">
    <w:name w:val="List Number 5"/>
    <w:basedOn w:val="Normal"/>
    <w:uiPriority w:val="99"/>
    <w:semiHidden/>
    <w:rsid w:val="002D2C99"/>
    <w:pPr>
      <w:numPr>
        <w:numId w:val="20"/>
      </w:numPr>
      <w:contextualSpacing/>
    </w:pPr>
  </w:style>
  <w:style w:type="paragraph" w:styleId="MacroText">
    <w:name w:val="macro"/>
    <w:link w:val="MacroTextChar"/>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2D2C99"/>
    <w:rPr>
      <w:rFonts w:ascii="Consolas" w:eastAsiaTheme="minorEastAsia" w:hAnsi="Consolas" w:cs="Consolas"/>
      <w:sz w:val="20"/>
      <w:szCs w:val="20"/>
    </w:rPr>
  </w:style>
  <w:style w:type="table" w:styleId="MediumGrid1">
    <w:name w:val="Medium Grid 1"/>
    <w:basedOn w:val="TableNormal"/>
    <w:uiPriority w:val="99"/>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rsid w:val="002D2C99"/>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rsid w:val="002D2C9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2D2C99"/>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rsid w:val="002D2C99"/>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rsid w:val="002D2C99"/>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rsid w:val="002D2C99"/>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rsid w:val="002D2C99"/>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sid w:val="002D2C99"/>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rsid w:val="002D2C99"/>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rsid w:val="002D2C9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2D2C99"/>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2D2C99"/>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2D2C99"/>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2D2C99"/>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2D2C99"/>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2D2C99"/>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2D2C9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D2C9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2D2C99"/>
    <w:rPr>
      <w:rFonts w:ascii="Times New Roman" w:hAnsi="Times New Roman" w:cs="Times New Roman"/>
      <w:szCs w:val="24"/>
    </w:rPr>
  </w:style>
  <w:style w:type="paragraph" w:styleId="NormalIndent">
    <w:name w:val="Normal Indent"/>
    <w:basedOn w:val="Normal"/>
    <w:uiPriority w:val="99"/>
    <w:semiHidden/>
    <w:rsid w:val="002D2C99"/>
    <w:pPr>
      <w:ind w:left="720"/>
    </w:pPr>
  </w:style>
  <w:style w:type="paragraph" w:styleId="NoteHeading">
    <w:name w:val="Note Heading"/>
    <w:basedOn w:val="Normal"/>
    <w:next w:val="Normal"/>
    <w:link w:val="NoteHeadingChar"/>
    <w:uiPriority w:val="99"/>
    <w:semiHidden/>
    <w:rsid w:val="002D2C99"/>
  </w:style>
  <w:style w:type="character" w:customStyle="1" w:styleId="NoteHeadingChar">
    <w:name w:val="Note Heading Char"/>
    <w:basedOn w:val="DefaultParagraphFont"/>
    <w:link w:val="NoteHeading"/>
    <w:uiPriority w:val="99"/>
    <w:semiHidden/>
    <w:rsid w:val="002D2C99"/>
    <w:rPr>
      <w:rFonts w:eastAsiaTheme="minorEastAsia"/>
      <w:sz w:val="24"/>
    </w:rPr>
  </w:style>
  <w:style w:type="character" w:styleId="PlaceholderText">
    <w:name w:val="Placeholder Text"/>
    <w:basedOn w:val="DefaultParagraphFont"/>
    <w:uiPriority w:val="99"/>
    <w:semiHidden/>
    <w:rsid w:val="002D2C99"/>
    <w:rPr>
      <w:color w:val="808080"/>
    </w:rPr>
  </w:style>
  <w:style w:type="paragraph" w:styleId="PlainText">
    <w:name w:val="Plain Text"/>
    <w:basedOn w:val="Normal"/>
    <w:link w:val="PlainTextChar"/>
    <w:uiPriority w:val="99"/>
    <w:semiHidden/>
    <w:rsid w:val="002D2C99"/>
    <w:rPr>
      <w:rFonts w:ascii="Consolas" w:hAnsi="Consolas" w:cs="Consolas"/>
      <w:sz w:val="21"/>
      <w:szCs w:val="21"/>
    </w:rPr>
  </w:style>
  <w:style w:type="character" w:customStyle="1" w:styleId="PlainTextChar">
    <w:name w:val="Plain Text Char"/>
    <w:basedOn w:val="DefaultParagraphFont"/>
    <w:link w:val="PlainText"/>
    <w:uiPriority w:val="99"/>
    <w:semiHidden/>
    <w:rsid w:val="002D2C99"/>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2D2C99"/>
  </w:style>
  <w:style w:type="character" w:customStyle="1" w:styleId="SalutationChar">
    <w:name w:val="Salutation Char"/>
    <w:basedOn w:val="DefaultParagraphFont"/>
    <w:link w:val="Salutation"/>
    <w:uiPriority w:val="99"/>
    <w:semiHidden/>
    <w:rsid w:val="002D2C99"/>
    <w:rPr>
      <w:rFonts w:eastAsiaTheme="minorEastAsia"/>
      <w:sz w:val="24"/>
    </w:rPr>
  </w:style>
  <w:style w:type="paragraph" w:styleId="Signature">
    <w:name w:val="Signature"/>
    <w:basedOn w:val="Normal"/>
    <w:link w:val="SignatureChar"/>
    <w:uiPriority w:val="99"/>
    <w:semiHidden/>
    <w:rsid w:val="002D2C99"/>
    <w:pPr>
      <w:ind w:left="4252"/>
    </w:pPr>
  </w:style>
  <w:style w:type="character" w:customStyle="1" w:styleId="SignatureChar">
    <w:name w:val="Signature Char"/>
    <w:basedOn w:val="DefaultParagraphFont"/>
    <w:link w:val="Signature"/>
    <w:uiPriority w:val="99"/>
    <w:semiHidden/>
    <w:rsid w:val="002D2C99"/>
    <w:rPr>
      <w:rFonts w:eastAsiaTheme="minorEastAsia"/>
      <w:sz w:val="24"/>
    </w:rPr>
  </w:style>
  <w:style w:type="table" w:styleId="Table3Deffects1">
    <w:name w:val="Table 3D effects 1"/>
    <w:basedOn w:val="TableNormal"/>
    <w:uiPriority w:val="99"/>
    <w:semiHidden/>
    <w:unhideWhenUsed/>
    <w:rsid w:val="002D2C99"/>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2C99"/>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2C99"/>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2C99"/>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2C99"/>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2C99"/>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2C99"/>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2C99"/>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2C99"/>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2C99"/>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2C99"/>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2C99"/>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2C99"/>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2C99"/>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2C99"/>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2C99"/>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2C99"/>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2C99"/>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2C99"/>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2C99"/>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D2C99"/>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2C99"/>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2C99"/>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2C99"/>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2C99"/>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D2C99"/>
    <w:pPr>
      <w:ind w:left="240" w:hanging="240"/>
    </w:pPr>
  </w:style>
  <w:style w:type="paragraph" w:styleId="TableofFigures">
    <w:name w:val="table of figures"/>
    <w:basedOn w:val="Normal"/>
    <w:next w:val="Normal"/>
    <w:uiPriority w:val="99"/>
    <w:semiHidden/>
    <w:rsid w:val="002D2C99"/>
  </w:style>
  <w:style w:type="table" w:styleId="TableProfessional">
    <w:name w:val="Table Professional"/>
    <w:basedOn w:val="TableNormal"/>
    <w:uiPriority w:val="99"/>
    <w:semiHidden/>
    <w:unhideWhenUsed/>
    <w:rsid w:val="002D2C99"/>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2C99"/>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2C99"/>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2C99"/>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2C99"/>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2C99"/>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2C9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D2C99"/>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2C99"/>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2C99"/>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2D2C99"/>
    <w:pPr>
      <w:spacing w:after="100"/>
      <w:ind w:left="1200"/>
    </w:pPr>
  </w:style>
  <w:style w:type="paragraph" w:styleId="TOC7">
    <w:name w:val="toc 7"/>
    <w:basedOn w:val="Normal"/>
    <w:next w:val="Normal"/>
    <w:autoRedefine/>
    <w:uiPriority w:val="99"/>
    <w:semiHidden/>
    <w:rsid w:val="002D2C99"/>
    <w:pPr>
      <w:spacing w:after="100"/>
      <w:ind w:left="1440"/>
    </w:pPr>
  </w:style>
  <w:style w:type="paragraph" w:styleId="TOC8">
    <w:name w:val="toc 8"/>
    <w:basedOn w:val="Normal"/>
    <w:next w:val="Normal"/>
    <w:autoRedefine/>
    <w:uiPriority w:val="99"/>
    <w:semiHidden/>
    <w:rsid w:val="002D2C99"/>
    <w:pPr>
      <w:spacing w:after="100"/>
      <w:ind w:left="1680"/>
    </w:pPr>
  </w:style>
  <w:style w:type="paragraph" w:styleId="TOC9">
    <w:name w:val="toc 9"/>
    <w:basedOn w:val="Normal"/>
    <w:next w:val="Normal"/>
    <w:autoRedefine/>
    <w:uiPriority w:val="99"/>
    <w:semiHidden/>
    <w:rsid w:val="002D2C99"/>
    <w:pPr>
      <w:spacing w:after="100"/>
      <w:ind w:left="1920"/>
    </w:pPr>
  </w:style>
  <w:style w:type="character" w:customStyle="1" w:styleId="JuNames0">
    <w:name w:val="Ju_Names"/>
    <w:rsid w:val="008E72F9"/>
    <w:rPr>
      <w:rFonts w:ascii="Times New Roman" w:hAnsi="Times New Roman" w:cs="Times New Roman"/>
      <w:smallCaps/>
    </w:rPr>
  </w:style>
  <w:style w:type="numbering" w:customStyle="1" w:styleId="1111111">
    <w:name w:val="1 / 1.1 / 1.1.11"/>
    <w:basedOn w:val="NoList"/>
    <w:next w:val="111111"/>
    <w:uiPriority w:val="99"/>
    <w:semiHidden/>
    <w:rsid w:val="008E72F9"/>
    <w:pPr>
      <w:numPr>
        <w:numId w:val="21"/>
      </w:numPr>
    </w:pPr>
  </w:style>
  <w:style w:type="numbering" w:customStyle="1" w:styleId="1ai1">
    <w:name w:val="1 / a / i1"/>
    <w:basedOn w:val="NoList"/>
    <w:next w:val="1ai"/>
    <w:uiPriority w:val="99"/>
    <w:semiHidden/>
    <w:rsid w:val="008E72F9"/>
    <w:pPr>
      <w:numPr>
        <w:numId w:val="22"/>
      </w:numPr>
    </w:pPr>
  </w:style>
  <w:style w:type="numbering" w:customStyle="1" w:styleId="ArticleSection1">
    <w:name w:val="Article / Section1"/>
    <w:basedOn w:val="NoList"/>
    <w:next w:val="ArticleSection"/>
    <w:uiPriority w:val="99"/>
    <w:semiHidden/>
    <w:rsid w:val="008E72F9"/>
    <w:pPr>
      <w:numPr>
        <w:numId w:val="23"/>
      </w:numPr>
    </w:pPr>
  </w:style>
  <w:style w:type="numbering" w:customStyle="1" w:styleId="ECHRA1StyleNumberedList">
    <w:name w:val="ECHR_A1_Style_Numbered_List"/>
    <w:basedOn w:val="NoList"/>
    <w:rsid w:val="008E72F9"/>
    <w:pPr>
      <w:numPr>
        <w:numId w:val="25"/>
      </w:numPr>
    </w:pPr>
  </w:style>
  <w:style w:type="paragraph" w:customStyle="1" w:styleId="ECHRNumberedList1">
    <w:name w:val="ECHR_Numbered_List_1"/>
    <w:aliases w:val="Num_1"/>
    <w:basedOn w:val="Normal"/>
    <w:uiPriority w:val="9"/>
    <w:rsid w:val="008E72F9"/>
    <w:pPr>
      <w:numPr>
        <w:numId w:val="24"/>
      </w:numPr>
      <w:suppressAutoHyphens/>
      <w:spacing w:before="60" w:after="60"/>
      <w:jc w:val="left"/>
    </w:pPr>
    <w:rPr>
      <w:rFonts w:ascii="Times New Roman" w:hAnsi="Times New Roman" w:cs="Times New Roman"/>
      <w:szCs w:val="20"/>
      <w:lang w:val="fr-FR" w:eastAsia="fr-FR"/>
    </w:rPr>
  </w:style>
  <w:style w:type="paragraph" w:customStyle="1" w:styleId="ECHRNumberedList2">
    <w:name w:val="ECHR_Numbered_List_2"/>
    <w:aliases w:val="Num_2"/>
    <w:basedOn w:val="ECHRNumberedList1"/>
    <w:uiPriority w:val="9"/>
    <w:rsid w:val="008E72F9"/>
    <w:pPr>
      <w:numPr>
        <w:ilvl w:val="1"/>
      </w:numPr>
    </w:pPr>
  </w:style>
  <w:style w:type="paragraph" w:customStyle="1" w:styleId="ECHRNumberedList3">
    <w:name w:val="ECHR_Numbered_List_3"/>
    <w:aliases w:val="Num_3"/>
    <w:basedOn w:val="ECHRNumberedList2"/>
    <w:uiPriority w:val="9"/>
    <w:rsid w:val="008E72F9"/>
    <w:pPr>
      <w:numPr>
        <w:ilvl w:val="2"/>
      </w:numPr>
    </w:pPr>
  </w:style>
  <w:style w:type="character" w:customStyle="1" w:styleId="JuParaChar">
    <w:name w:val="Ju_Para Char"/>
    <w:basedOn w:val="DefaultParagraphFont"/>
    <w:link w:val="ECHRPara"/>
    <w:uiPriority w:val="12"/>
    <w:rsid w:val="008E72F9"/>
    <w:rPr>
      <w:rFonts w:eastAsiaTheme="minorEastAsia"/>
      <w:sz w:val="24"/>
    </w:rPr>
  </w:style>
  <w:style w:type="numbering" w:customStyle="1" w:styleId="ECHRA1StyleBulletedSquare">
    <w:name w:val="ECHR_A1_Style_Bulleted_Square"/>
    <w:basedOn w:val="NoList"/>
    <w:rsid w:val="008E72F9"/>
    <w:pPr>
      <w:numPr>
        <w:numId w:val="26"/>
      </w:numPr>
    </w:pPr>
  </w:style>
  <w:style w:type="paragraph" w:customStyle="1" w:styleId="ECHRBullet1">
    <w:name w:val="ECHR_Bullet_1"/>
    <w:aliases w:val="Bul_1"/>
    <w:basedOn w:val="Normal"/>
    <w:uiPriority w:val="8"/>
    <w:rsid w:val="008E72F9"/>
    <w:pPr>
      <w:numPr>
        <w:numId w:val="26"/>
      </w:numPr>
      <w:suppressAutoHyphens/>
      <w:spacing w:before="60" w:after="60"/>
    </w:pPr>
    <w:rPr>
      <w:rFonts w:ascii="Times New Roman" w:hAnsi="Times New Roman" w:cs="Times New Roman"/>
      <w:szCs w:val="20"/>
      <w:lang w:val="fr-FR" w:eastAsia="fr-FR"/>
    </w:rPr>
  </w:style>
  <w:style w:type="paragraph" w:customStyle="1" w:styleId="ECHRBullet2">
    <w:name w:val="ECHR_Bullet_2"/>
    <w:aliases w:val="Bul_2"/>
    <w:basedOn w:val="ECHRBullet1"/>
    <w:uiPriority w:val="8"/>
    <w:rsid w:val="008E72F9"/>
    <w:pPr>
      <w:numPr>
        <w:ilvl w:val="1"/>
      </w:numPr>
    </w:pPr>
  </w:style>
  <w:style w:type="paragraph" w:customStyle="1" w:styleId="ECHRBullet3">
    <w:name w:val="ECHR_Bullet_3"/>
    <w:aliases w:val="Bul_3"/>
    <w:basedOn w:val="ECHRBullet2"/>
    <w:uiPriority w:val="8"/>
    <w:rsid w:val="008E72F9"/>
    <w:pPr>
      <w:numPr>
        <w:ilvl w:val="2"/>
      </w:numPr>
    </w:pPr>
  </w:style>
  <w:style w:type="paragraph" w:customStyle="1" w:styleId="ECHRBullet4">
    <w:name w:val="ECHR_Bullet_4"/>
    <w:aliases w:val="Bul_4"/>
    <w:basedOn w:val="ECHRBullet3"/>
    <w:uiPriority w:val="8"/>
    <w:rsid w:val="008E72F9"/>
    <w:pPr>
      <w:numPr>
        <w:ilvl w:val="3"/>
      </w:numPr>
    </w:pPr>
  </w:style>
  <w:style w:type="paragraph" w:customStyle="1" w:styleId="s82ac4f2">
    <w:name w:val="s82ac4f2"/>
    <w:basedOn w:val="Normal"/>
    <w:rsid w:val="008E72F9"/>
    <w:pPr>
      <w:spacing w:before="100" w:beforeAutospacing="1" w:after="100" w:afterAutospacing="1"/>
      <w:jc w:val="left"/>
    </w:pPr>
    <w:rPr>
      <w:rFonts w:ascii="Times New Roman" w:eastAsia="Times New Roman" w:hAnsi="Times New Roman" w:cs="Times New Roman"/>
      <w:szCs w:val="24"/>
    </w:rPr>
  </w:style>
  <w:style w:type="character" w:customStyle="1" w:styleId="sb8d990e2">
    <w:name w:val="sb8d990e2"/>
    <w:basedOn w:val="DefaultParagraphFont"/>
    <w:rsid w:val="008E72F9"/>
  </w:style>
  <w:style w:type="paragraph" w:customStyle="1" w:styleId="se5d6d4c3">
    <w:name w:val="se5d6d4c3"/>
    <w:basedOn w:val="Normal"/>
    <w:rsid w:val="008E72F9"/>
    <w:pPr>
      <w:spacing w:before="100" w:beforeAutospacing="1" w:after="100" w:afterAutospacing="1"/>
      <w:jc w:val="left"/>
    </w:pPr>
    <w:rPr>
      <w:rFonts w:ascii="Times New Roman" w:eastAsia="Times New Roman" w:hAnsi="Times New Roman" w:cs="Times New Roman"/>
      <w:szCs w:val="24"/>
    </w:rPr>
  </w:style>
  <w:style w:type="character" w:customStyle="1" w:styleId="sdfc50a6a">
    <w:name w:val="sdfc50a6a"/>
    <w:basedOn w:val="DefaultParagraphFont"/>
    <w:rsid w:val="008E72F9"/>
  </w:style>
  <w:style w:type="character" w:customStyle="1" w:styleId="s6b621b36">
    <w:name w:val="s6b621b36"/>
    <w:basedOn w:val="DefaultParagraphFont"/>
    <w:rsid w:val="008E72F9"/>
  </w:style>
  <w:style w:type="character" w:customStyle="1" w:styleId="JuParaCar">
    <w:name w:val="Ju_Para Car"/>
    <w:uiPriority w:val="12"/>
    <w:rsid w:val="008E72F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2B338-DC2D-4A71-8848-6B9FB4EAD9E2}"/>
</file>

<file path=customXml/itemProps2.xml><?xml version="1.0" encoding="utf-8"?>
<ds:datastoreItem xmlns:ds="http://schemas.openxmlformats.org/officeDocument/2006/customXml" ds:itemID="{11DC0AD4-8B90-4FCE-8750-C41291720EC6}"/>
</file>

<file path=customXml/itemProps3.xml><?xml version="1.0" encoding="utf-8"?>
<ds:datastoreItem xmlns:ds="http://schemas.openxmlformats.org/officeDocument/2006/customXml" ds:itemID="{2741949E-3543-46C7-AF0C-1670736CEACC}"/>
</file>

<file path=customXml/itemProps4.xml><?xml version="1.0" encoding="utf-8"?>
<ds:datastoreItem xmlns:ds="http://schemas.openxmlformats.org/officeDocument/2006/customXml" ds:itemID="{9BEA5AE2-7CFB-4D5A-A1C0-5495D8E3221B}"/>
</file>

<file path=docProps/app.xml><?xml version="1.0" encoding="utf-8"?>
<Properties xmlns="http://schemas.openxmlformats.org/officeDocument/2006/extended-properties" xmlns:vt="http://schemas.openxmlformats.org/officeDocument/2006/docPropsVTypes">
  <Template>Normal.dotm</Template>
  <TotalTime>23</TotalTime>
  <Pages>1</Pages>
  <Words>5836</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DF2.0a</vt:lpstr>
    </vt:vector>
  </TitlesOfParts>
  <Manager/>
  <Company/>
  <LinksUpToDate>false</LinksUpToDate>
  <CharactersWithSpaces>39024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4</cp:revision>
  <cp:lastPrinted>2015-06-02T09:26:00Z</cp:lastPrinted>
  <dcterms:created xsi:type="dcterms:W3CDTF">2015-06-16T07:53:00Z</dcterms:created>
  <dcterms:modified xsi:type="dcterms:W3CDTF">2015-06-16T07:53:00Z</dcterms:modified>
  <cp:category>ECHR Template</cp:category>
</cp:coreProperties>
</file>